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8A" w:rsidRPr="00095F8A" w:rsidRDefault="00EF7B87">
      <w:pPr>
        <w:jc w:val="right"/>
        <w:rPr>
          <w:rFonts w:ascii="Times New Roman" w:hAnsi="Times New Roman" w:cs="Times New Roman"/>
          <w:b/>
          <w:bCs/>
          <w:sz w:val="22"/>
          <w:szCs w:val="22"/>
        </w:rPr>
      </w:pPr>
      <w:r w:rsidRPr="00095F8A">
        <w:rPr>
          <w:rFonts w:ascii="Times New Roman" w:hAnsi="Times New Roman" w:cs="Times New Roman"/>
          <w:b/>
          <w:bCs/>
          <w:sz w:val="22"/>
          <w:szCs w:val="22"/>
        </w:rPr>
        <w:t>Приложение № 1</w:t>
      </w:r>
      <w:r w:rsidR="00831485" w:rsidRPr="00095F8A">
        <w:rPr>
          <w:rFonts w:ascii="Times New Roman" w:hAnsi="Times New Roman" w:cs="Times New Roman"/>
          <w:b/>
          <w:bCs/>
          <w:sz w:val="22"/>
          <w:szCs w:val="22"/>
        </w:rPr>
        <w:t xml:space="preserve"> </w:t>
      </w:r>
    </w:p>
    <w:p w:rsidR="00902886" w:rsidRPr="00095F8A" w:rsidRDefault="00831485">
      <w:pPr>
        <w:jc w:val="right"/>
        <w:rPr>
          <w:rFonts w:ascii="Times New Roman" w:hAnsi="Times New Roman" w:cs="Times New Roman"/>
          <w:sz w:val="22"/>
          <w:szCs w:val="22"/>
        </w:rPr>
      </w:pPr>
      <w:r w:rsidRPr="00095F8A">
        <w:rPr>
          <w:rFonts w:ascii="Times New Roman" w:hAnsi="Times New Roman" w:cs="Times New Roman"/>
          <w:b/>
          <w:bCs/>
          <w:sz w:val="22"/>
          <w:szCs w:val="22"/>
        </w:rPr>
        <w:t xml:space="preserve">к </w:t>
      </w:r>
      <w:r w:rsidR="00EF7B87" w:rsidRPr="00095F8A">
        <w:rPr>
          <w:rFonts w:ascii="Times New Roman" w:hAnsi="Times New Roman" w:cs="Times New Roman"/>
          <w:b/>
          <w:bCs/>
          <w:sz w:val="22"/>
          <w:szCs w:val="22"/>
        </w:rPr>
        <w:t>документации о проведении конкурса</w:t>
      </w:r>
    </w:p>
    <w:p w:rsidR="00902886" w:rsidRPr="00095F8A" w:rsidRDefault="00902886">
      <w:pPr>
        <w:jc w:val="right"/>
        <w:rPr>
          <w:rFonts w:ascii="Times New Roman" w:hAnsi="Times New Roman" w:cs="Times New Roman"/>
          <w:b/>
          <w:bCs/>
          <w:sz w:val="22"/>
          <w:szCs w:val="22"/>
        </w:rPr>
      </w:pPr>
    </w:p>
    <w:p w:rsidR="00DA497A" w:rsidRPr="0016770A" w:rsidRDefault="00DA497A" w:rsidP="00DA497A">
      <w:pPr>
        <w:keepNext/>
        <w:keepLines/>
        <w:autoSpaceDN w:val="0"/>
        <w:spacing w:after="244" w:line="264" w:lineRule="auto"/>
        <w:ind w:right="454"/>
        <w:jc w:val="center"/>
        <w:textAlignment w:val="baseline"/>
        <w:rPr>
          <w:rFonts w:ascii="Times New Roman" w:hAnsi="Times New Roman" w:cs="Times New Roman"/>
          <w:b/>
          <w:color w:val="000000"/>
          <w:kern w:val="3"/>
          <w:sz w:val="22"/>
          <w:szCs w:val="22"/>
        </w:rPr>
      </w:pPr>
      <w:r w:rsidRPr="0016770A">
        <w:rPr>
          <w:rFonts w:ascii="Times New Roman" w:hAnsi="Times New Roman" w:cs="Times New Roman"/>
          <w:b/>
          <w:color w:val="000000"/>
          <w:kern w:val="3"/>
          <w:sz w:val="22"/>
          <w:szCs w:val="22"/>
        </w:rPr>
        <w:t>Порядок оценки заявок на участие в открытом конкурсе в электронной форме</w:t>
      </w:r>
    </w:p>
    <w:p w:rsidR="00423969" w:rsidRPr="0016770A" w:rsidRDefault="00423969" w:rsidP="00095F8A">
      <w:pPr>
        <w:pStyle w:val="ac"/>
        <w:keepNext/>
        <w:keepLines/>
        <w:numPr>
          <w:ilvl w:val="0"/>
          <w:numId w:val="1"/>
        </w:numPr>
        <w:autoSpaceDN w:val="0"/>
        <w:ind w:left="426"/>
        <w:jc w:val="both"/>
        <w:textAlignment w:val="baseline"/>
        <w:outlineLvl w:val="0"/>
        <w:rPr>
          <w:rFonts w:ascii="Times New Roman" w:eastAsia="Times New Roman" w:hAnsi="Times New Roman" w:cs="Times New Roman"/>
          <w:color w:val="000000"/>
          <w:kern w:val="3"/>
          <w:sz w:val="22"/>
          <w:szCs w:val="22"/>
          <w:lang w:eastAsia="ru-RU"/>
        </w:rPr>
      </w:pPr>
      <w:r w:rsidRPr="0016770A">
        <w:rPr>
          <w:rFonts w:ascii="Times New Roman" w:eastAsia="Times New Roman" w:hAnsi="Times New Roman" w:cs="Times New Roman"/>
          <w:color w:val="000000"/>
          <w:kern w:val="3"/>
          <w:sz w:val="22"/>
          <w:szCs w:val="22"/>
          <w:lang w:eastAsia="ru-RU"/>
        </w:rPr>
        <w:t xml:space="preserve">Оценка заявок на участие в открытом конкурсе в электронной форме осуществляется в соответствии с </w:t>
      </w:r>
      <w:r w:rsidR="003D6163" w:rsidRPr="0016770A">
        <w:rPr>
          <w:rFonts w:ascii="Times New Roman" w:eastAsia="Times New Roman" w:hAnsi="Times New Roman" w:cs="Times New Roman"/>
          <w:color w:val="000000"/>
          <w:kern w:val="3"/>
          <w:sz w:val="22"/>
          <w:szCs w:val="22"/>
          <w:lang w:eastAsia="ru-RU"/>
        </w:rPr>
        <w:t xml:space="preserve">порядком, утвержденным </w:t>
      </w:r>
      <w:r w:rsidRPr="0016770A">
        <w:rPr>
          <w:rFonts w:ascii="Times New Roman" w:eastAsia="Times New Roman" w:hAnsi="Times New Roman" w:cs="Times New Roman"/>
          <w:color w:val="000000"/>
          <w:kern w:val="3"/>
          <w:sz w:val="22"/>
          <w:szCs w:val="22"/>
          <w:lang w:eastAsia="ru-RU"/>
        </w:rPr>
        <w:t>Положением о закупках.</w:t>
      </w:r>
    </w:p>
    <w:p w:rsidR="0055417A" w:rsidRPr="0016770A" w:rsidRDefault="00DA497A" w:rsidP="00095F8A">
      <w:pPr>
        <w:pStyle w:val="ac"/>
        <w:numPr>
          <w:ilvl w:val="0"/>
          <w:numId w:val="1"/>
        </w:numPr>
        <w:autoSpaceDN w:val="0"/>
        <w:ind w:left="426"/>
        <w:jc w:val="both"/>
        <w:textAlignment w:val="baseline"/>
        <w:rPr>
          <w:rFonts w:ascii="Times New Roman" w:eastAsia="Times New Roman" w:hAnsi="Times New Roman" w:cs="Times New Roman"/>
          <w:color w:val="000000"/>
          <w:kern w:val="3"/>
          <w:sz w:val="22"/>
          <w:szCs w:val="22"/>
          <w:lang w:eastAsia="ru-RU"/>
        </w:rPr>
      </w:pPr>
      <w:r w:rsidRPr="0016770A">
        <w:rPr>
          <w:rFonts w:ascii="Times New Roman" w:hAnsi="Times New Roman" w:cs="Times New Roman"/>
          <w:color w:val="000000"/>
          <w:kern w:val="3"/>
          <w:sz w:val="22"/>
          <w:szCs w:val="22"/>
        </w:rPr>
        <w:t xml:space="preserve">Для оценки заявок (предложений) заказчик устанавливает в </w:t>
      </w:r>
      <w:r w:rsidRPr="0016770A">
        <w:rPr>
          <w:rFonts w:ascii="Times New Roman" w:eastAsia="Times New Roman" w:hAnsi="Times New Roman" w:cs="Times New Roman"/>
          <w:color w:val="000000"/>
          <w:kern w:val="3"/>
          <w:sz w:val="22"/>
          <w:szCs w:val="22"/>
          <w:lang w:eastAsia="ru-RU"/>
        </w:rPr>
        <w:t xml:space="preserve">документации о закупке следующие критерии </w:t>
      </w:r>
      <w:r w:rsidR="0055417A" w:rsidRPr="0016770A">
        <w:rPr>
          <w:rFonts w:ascii="Times New Roman" w:eastAsia="Times New Roman" w:hAnsi="Times New Roman" w:cs="Times New Roman"/>
          <w:color w:val="000000"/>
          <w:kern w:val="3"/>
          <w:sz w:val="22"/>
          <w:szCs w:val="22"/>
          <w:lang w:eastAsia="ru-RU"/>
        </w:rPr>
        <w:t>и показатели оценки заявок на участие в закупке:</w:t>
      </w:r>
    </w:p>
    <w:tbl>
      <w:tblPr>
        <w:tblStyle w:val="ad"/>
        <w:tblW w:w="15217" w:type="dxa"/>
        <w:tblInd w:w="108" w:type="dxa"/>
        <w:tblLayout w:type="fixed"/>
        <w:tblLook w:val="04A0" w:firstRow="1" w:lastRow="0" w:firstColumn="1" w:lastColumn="0" w:noHBand="0" w:noVBand="1"/>
      </w:tblPr>
      <w:tblGrid>
        <w:gridCol w:w="993"/>
        <w:gridCol w:w="2077"/>
        <w:gridCol w:w="1041"/>
        <w:gridCol w:w="1359"/>
        <w:gridCol w:w="9747"/>
      </w:tblGrid>
      <w:tr w:rsidR="008E00B7" w:rsidRPr="00F25549" w:rsidTr="00F25549">
        <w:trPr>
          <w:trHeight w:val="233"/>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Критерий оценки</w:t>
            </w:r>
          </w:p>
        </w:tc>
        <w:tc>
          <w:tcPr>
            <w:tcW w:w="207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Показатель оценки</w:t>
            </w:r>
          </w:p>
        </w:tc>
        <w:tc>
          <w:tcPr>
            <w:tcW w:w="1041"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критерия оценки, %</w:t>
            </w:r>
          </w:p>
        </w:tc>
        <w:tc>
          <w:tcPr>
            <w:tcW w:w="1359"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детализирующего показателя</w:t>
            </w:r>
          </w:p>
        </w:tc>
        <w:tc>
          <w:tcPr>
            <w:tcW w:w="974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Положение о применения критерия оценки, показателя оценки</w:t>
            </w:r>
          </w:p>
        </w:tc>
      </w:tr>
      <w:tr w:rsidR="008E00B7" w:rsidRPr="00F25549" w:rsidTr="00F25549">
        <w:trPr>
          <w:trHeight w:val="626"/>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1) стоимостные критерии оценки</w:t>
            </w:r>
          </w:p>
        </w:tc>
        <w:tc>
          <w:tcPr>
            <w:tcW w:w="2077" w:type="dxa"/>
          </w:tcPr>
          <w:p w:rsidR="008E00B7" w:rsidRPr="00F25549" w:rsidRDefault="008E00B7" w:rsidP="008E00B7">
            <w:pPr>
              <w:pStyle w:val="ac"/>
              <w:autoSpaceDN w:val="0"/>
              <w:ind w:left="0"/>
              <w:jc w:val="both"/>
              <w:textAlignment w:val="baseline"/>
              <w:rPr>
                <w:rFonts w:ascii="Times New Roman" w:hAnsi="Times New Roman" w:cs="Times New Roman"/>
                <w:b/>
                <w:color w:val="000000"/>
                <w:kern w:val="3"/>
                <w:sz w:val="20"/>
                <w:szCs w:val="20"/>
              </w:rPr>
            </w:pPr>
            <w:proofErr w:type="spellStart"/>
            <w:r w:rsidRPr="00F25549">
              <w:rPr>
                <w:rFonts w:ascii="Times New Roman" w:hAnsi="Times New Roman" w:cs="Times New Roman"/>
                <w:b/>
                <w:color w:val="000000"/>
                <w:kern w:val="3"/>
                <w:sz w:val="20"/>
                <w:szCs w:val="20"/>
              </w:rPr>
              <w:t>ЦБi</w:t>
            </w:r>
            <w:proofErr w:type="spellEnd"/>
            <w:r w:rsidRPr="00F25549">
              <w:rPr>
                <w:rFonts w:ascii="Times New Roman" w:hAnsi="Times New Roman" w:cs="Times New Roman"/>
                <w:b/>
                <w:color w:val="000000"/>
                <w:kern w:val="3"/>
                <w:sz w:val="20"/>
                <w:szCs w:val="20"/>
              </w:rPr>
              <w:t>-</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цена договора или сумма цен единиц товара, работы, услуги</w:t>
            </w:r>
          </w:p>
        </w:tc>
        <w:tc>
          <w:tcPr>
            <w:tcW w:w="1041" w:type="dxa"/>
          </w:tcPr>
          <w:p w:rsidR="008E00B7" w:rsidRPr="00F25549" w:rsidRDefault="00BC4180" w:rsidP="00FA04F1">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w:t>
            </w:r>
            <w:r w:rsidR="008E00B7" w:rsidRPr="00F25549">
              <w:rPr>
                <w:rFonts w:ascii="Times New Roman" w:hAnsi="Times New Roman" w:cs="Times New Roman"/>
                <w:color w:val="000000"/>
                <w:kern w:val="3"/>
                <w:sz w:val="20"/>
                <w:szCs w:val="20"/>
              </w:rPr>
              <w:t xml:space="preserve">0% </w:t>
            </w:r>
            <w:r w:rsidR="008E00B7" w:rsidRPr="00F25549">
              <w:rPr>
                <w:sz w:val="20"/>
                <w:szCs w:val="20"/>
              </w:rPr>
              <w:t xml:space="preserve">(максимальное количество баллов </w:t>
            </w:r>
            <w:r w:rsidR="00FA04F1">
              <w:rPr>
                <w:sz w:val="20"/>
                <w:szCs w:val="20"/>
              </w:rPr>
              <w:t>5</w:t>
            </w:r>
            <w:r w:rsidR="008E00B7" w:rsidRPr="00F25549">
              <w:rPr>
                <w:sz w:val="20"/>
                <w:szCs w:val="20"/>
              </w:rPr>
              <w:t>0)</w:t>
            </w:r>
          </w:p>
        </w:tc>
        <w:tc>
          <w:tcPr>
            <w:tcW w:w="1359"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c>
          <w:tcPr>
            <w:tcW w:w="9747"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Предложение участника закупки о цене договора (далее - ценовое предложение)</w:t>
            </w:r>
            <w:r w:rsidRPr="00F25549">
              <w:rPr>
                <w:sz w:val="20"/>
                <w:szCs w:val="20"/>
              </w:rPr>
              <w:t xml:space="preserve"> </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r>
      <w:tr w:rsidR="002D7899" w:rsidRPr="00F25549" w:rsidTr="00F25549">
        <w:trPr>
          <w:trHeight w:val="297"/>
        </w:trPr>
        <w:tc>
          <w:tcPr>
            <w:tcW w:w="993" w:type="dxa"/>
            <w:vMerge w:val="restart"/>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2) не</w:t>
            </w:r>
            <w:r w:rsidR="00174440">
              <w:rPr>
                <w:rFonts w:ascii="Times New Roman" w:hAnsi="Times New Roman" w:cs="Times New Roman"/>
                <w:color w:val="000000"/>
                <w:kern w:val="3"/>
                <w:sz w:val="20"/>
                <w:szCs w:val="20"/>
              </w:rPr>
              <w:t xml:space="preserve"> </w:t>
            </w:r>
            <w:r w:rsidRPr="00F25549">
              <w:rPr>
                <w:rFonts w:ascii="Times New Roman" w:hAnsi="Times New Roman" w:cs="Times New Roman"/>
                <w:color w:val="000000"/>
                <w:kern w:val="3"/>
                <w:sz w:val="20"/>
                <w:szCs w:val="20"/>
              </w:rPr>
              <w:t>стоимостные критерии оценки</w:t>
            </w:r>
          </w:p>
        </w:tc>
        <w:tc>
          <w:tcPr>
            <w:tcW w:w="2077" w:type="dxa"/>
          </w:tcPr>
          <w:p w:rsidR="002D7899" w:rsidRPr="00F25549" w:rsidRDefault="002D7899" w:rsidP="008E00B7">
            <w:pPr>
              <w:pStyle w:val="ac"/>
              <w:autoSpaceDN w:val="0"/>
              <w:ind w:left="0"/>
              <w:jc w:val="both"/>
              <w:textAlignment w:val="baseline"/>
              <w:rPr>
                <w:rFonts w:ascii="Times New Roman" w:hAnsi="Times New Roman" w:cs="Times New Roman"/>
                <w:b/>
                <w:color w:val="000000"/>
                <w:kern w:val="3"/>
                <w:sz w:val="20"/>
                <w:szCs w:val="20"/>
              </w:rPr>
            </w:pPr>
            <w:r w:rsidRPr="00F25549">
              <w:rPr>
                <w:rFonts w:ascii="Times New Roman" w:hAnsi="Times New Roman" w:cs="Times New Roman"/>
                <w:b/>
                <w:color w:val="000000"/>
                <w:kern w:val="3"/>
                <w:sz w:val="20"/>
                <w:szCs w:val="20"/>
              </w:rPr>
              <w:t xml:space="preserve">2.1.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w:t>
            </w:r>
            <w:proofErr w:type="gramStart"/>
            <w:r w:rsidRPr="00F25549">
              <w:rPr>
                <w:rFonts w:ascii="Times New Roman" w:hAnsi="Times New Roman" w:cs="Times New Roman"/>
                <w:b/>
                <w:color w:val="000000"/>
                <w:kern w:val="3"/>
                <w:sz w:val="20"/>
                <w:szCs w:val="20"/>
              </w:rPr>
              <w:t>1)+</w:t>
            </w:r>
            <w:proofErr w:type="gram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(2)+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 xml:space="preserve">квалификация участников закупки, в </w:t>
            </w:r>
            <w:proofErr w:type="spellStart"/>
            <w:r w:rsidRPr="00F25549">
              <w:rPr>
                <w:rFonts w:ascii="Times New Roman" w:hAnsi="Times New Roman" w:cs="Times New Roman"/>
                <w:color w:val="000000"/>
                <w:kern w:val="3"/>
                <w:sz w:val="20"/>
                <w:szCs w:val="20"/>
              </w:rPr>
              <w:t>т.ч</w:t>
            </w:r>
            <w:proofErr w:type="spellEnd"/>
            <w:r w:rsidRPr="00F25549">
              <w:rPr>
                <w:rFonts w:ascii="Times New Roman" w:hAnsi="Times New Roman" w:cs="Times New Roman"/>
                <w:color w:val="000000"/>
                <w:kern w:val="3"/>
                <w:sz w:val="20"/>
                <w:szCs w:val="20"/>
              </w:rPr>
              <w:t>. детализирующие показатели:</w:t>
            </w:r>
          </w:p>
        </w:tc>
        <w:tc>
          <w:tcPr>
            <w:tcW w:w="1041" w:type="dxa"/>
            <w:vMerge w:val="restart"/>
          </w:tcPr>
          <w:p w:rsidR="002D7899" w:rsidRPr="001813D3" w:rsidRDefault="00BC4180" w:rsidP="00BC4180">
            <w:pPr>
              <w:pStyle w:val="ac"/>
              <w:autoSpaceDN w:val="0"/>
              <w:ind w:left="0"/>
              <w:jc w:val="both"/>
              <w:textAlignment w:val="baseline"/>
              <w:rPr>
                <w:rFonts w:ascii="Times New Roman" w:hAnsi="Times New Roman" w:cs="Times New Roman"/>
                <w:kern w:val="3"/>
                <w:sz w:val="20"/>
                <w:szCs w:val="20"/>
              </w:rPr>
            </w:pPr>
            <w:r>
              <w:rPr>
                <w:rFonts w:ascii="Times New Roman" w:hAnsi="Times New Roman" w:cs="Times New Roman"/>
                <w:kern w:val="3"/>
                <w:sz w:val="20"/>
                <w:szCs w:val="20"/>
              </w:rPr>
              <w:t>50</w:t>
            </w:r>
            <w:r w:rsidR="002D7899" w:rsidRPr="001813D3">
              <w:rPr>
                <w:rFonts w:ascii="Times New Roman" w:hAnsi="Times New Roman" w:cs="Times New Roman"/>
                <w:kern w:val="3"/>
                <w:sz w:val="20"/>
                <w:szCs w:val="20"/>
              </w:rPr>
              <w:t xml:space="preserve">% </w:t>
            </w:r>
            <w:r w:rsidR="002D7899" w:rsidRPr="001813D3">
              <w:rPr>
                <w:sz w:val="20"/>
                <w:szCs w:val="20"/>
              </w:rPr>
              <w:t>(макс</w:t>
            </w:r>
            <w:r>
              <w:rPr>
                <w:sz w:val="20"/>
                <w:szCs w:val="20"/>
              </w:rPr>
              <w:t>имальное количество баллов 5</w:t>
            </w:r>
            <w:r w:rsidR="00D628E1">
              <w:rPr>
                <w:sz w:val="20"/>
                <w:szCs w:val="20"/>
              </w:rPr>
              <w:t>0)</w:t>
            </w:r>
          </w:p>
        </w:tc>
        <w:tc>
          <w:tcPr>
            <w:tcW w:w="1359" w:type="dxa"/>
          </w:tcPr>
          <w:p w:rsidR="002D7899" w:rsidRPr="00F25549" w:rsidRDefault="00423D0A" w:rsidP="008E00B7">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100</w:t>
            </w:r>
            <w:r w:rsidR="00A83BCD">
              <w:rPr>
                <w:rFonts w:ascii="Times New Roman" w:hAnsi="Times New Roman" w:cs="Times New Roman"/>
                <w:color w:val="000000"/>
                <w:kern w:val="3"/>
                <w:sz w:val="20"/>
                <w:szCs w:val="20"/>
              </w:rPr>
              <w:t xml:space="preserve">% в </w:t>
            </w:r>
            <w:proofErr w:type="spellStart"/>
            <w:r w:rsidR="00A83BCD">
              <w:rPr>
                <w:rFonts w:ascii="Times New Roman" w:hAnsi="Times New Roman" w:cs="Times New Roman"/>
                <w:color w:val="000000"/>
                <w:kern w:val="3"/>
                <w:sz w:val="20"/>
                <w:szCs w:val="20"/>
              </w:rPr>
              <w:t>т.ч</w:t>
            </w:r>
            <w:proofErr w:type="spellEnd"/>
            <w:r w:rsidR="00A83BCD">
              <w:rPr>
                <w:rFonts w:ascii="Times New Roman" w:hAnsi="Times New Roman" w:cs="Times New Roman"/>
                <w:color w:val="000000"/>
                <w:kern w:val="3"/>
                <w:sz w:val="20"/>
                <w:szCs w:val="20"/>
              </w:rPr>
              <w:t>.</w:t>
            </w:r>
          </w:p>
        </w:tc>
        <w:tc>
          <w:tcPr>
            <w:tcW w:w="9747" w:type="dxa"/>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Для показателя оценки применяются детализирующие показатели.</w:t>
            </w:r>
          </w:p>
        </w:tc>
      </w:tr>
      <w:tr w:rsidR="000C7810" w:rsidRPr="00F25549" w:rsidTr="00F25549">
        <w:trPr>
          <w:trHeight w:val="297"/>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-наличие опыта работы, связанного с предметом договора (общая цена исполненных участником закупки договоров)</w:t>
            </w:r>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(1)</w:t>
            </w:r>
          </w:p>
        </w:tc>
        <w:tc>
          <w:tcPr>
            <w:tcW w:w="1041" w:type="dxa"/>
            <w:vMerge/>
          </w:tcPr>
          <w:p w:rsidR="000C7810" w:rsidRDefault="000C7810" w:rsidP="000C7810">
            <w:pPr>
              <w:pStyle w:val="ac"/>
              <w:autoSpaceDN w:val="0"/>
              <w:ind w:left="0"/>
              <w:jc w:val="both"/>
              <w:textAlignment w:val="baseline"/>
              <w:rPr>
                <w:rFonts w:ascii="Times New Roman" w:hAnsi="Times New Roman" w:cs="Times New Roman"/>
                <w:kern w:val="3"/>
                <w:sz w:val="20"/>
                <w:szCs w:val="20"/>
              </w:rPr>
            </w:pPr>
          </w:p>
        </w:tc>
        <w:tc>
          <w:tcPr>
            <w:tcW w:w="1359" w:type="dxa"/>
          </w:tcPr>
          <w:p w:rsidR="000C7810" w:rsidRDefault="000C7810" w:rsidP="000C7810">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40</w:t>
            </w:r>
            <w:r w:rsidRPr="00F25549">
              <w:rPr>
                <w:rFonts w:ascii="Times New Roman" w:hAnsi="Times New Roman" w:cs="Times New Roman"/>
                <w:color w:val="000000"/>
                <w:kern w:val="3"/>
                <w:sz w:val="20"/>
                <w:szCs w:val="20"/>
              </w:rPr>
              <w:t xml:space="preserve">% </w:t>
            </w:r>
            <w:r w:rsidRPr="00F25549">
              <w:rPr>
                <w:sz w:val="20"/>
                <w:szCs w:val="20"/>
              </w:rPr>
              <w:t xml:space="preserve">(максимальное количество баллов </w:t>
            </w:r>
            <w:r>
              <w:rPr>
                <w:sz w:val="20"/>
                <w:szCs w:val="20"/>
              </w:rPr>
              <w:t>40</w:t>
            </w:r>
            <w:r w:rsidRPr="00F25549">
              <w:rPr>
                <w:sz w:val="20"/>
                <w:szCs w:val="20"/>
              </w:rPr>
              <w:t>)</w:t>
            </w:r>
          </w:p>
        </w:tc>
        <w:tc>
          <w:tcPr>
            <w:tcW w:w="9747" w:type="dxa"/>
          </w:tcPr>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roofErr w:type="spellStart"/>
            <w:r w:rsidRPr="004B3C43">
              <w:rPr>
                <w:rFonts w:ascii="Times New Roman" w:hAnsi="Times New Roman" w:cs="Times New Roman"/>
                <w:color w:val="000000"/>
                <w:kern w:val="3"/>
                <w:sz w:val="20"/>
                <w:szCs w:val="20"/>
              </w:rPr>
              <w:t>Kпред</w:t>
            </w:r>
            <w:proofErr w:type="spellEnd"/>
            <w:r w:rsidRPr="004B3C43">
              <w:rPr>
                <w:rFonts w:ascii="Times New Roman" w:hAnsi="Times New Roman" w:cs="Times New Roman"/>
                <w:color w:val="000000"/>
                <w:kern w:val="3"/>
                <w:sz w:val="20"/>
                <w:szCs w:val="20"/>
              </w:rPr>
              <w:t xml:space="preserve"> (</w:t>
            </w:r>
            <w:r w:rsidRPr="004B3C43">
              <w:rPr>
                <w:sz w:val="20"/>
                <w:szCs w:val="20"/>
              </w:rPr>
              <w:t>предельно необходимое заказчику значение характеристик</w:t>
            </w:r>
            <w:r w:rsidRPr="004B3C43">
              <w:rPr>
                <w:rFonts w:ascii="Times New Roman" w:hAnsi="Times New Roman" w:cs="Times New Roman"/>
                <w:color w:val="000000"/>
                <w:kern w:val="3"/>
                <w:sz w:val="20"/>
                <w:szCs w:val="20"/>
              </w:rPr>
              <w:t xml:space="preserve">) = </w:t>
            </w:r>
            <w:r w:rsidRPr="004B3C43">
              <w:rPr>
                <w:sz w:val="20"/>
                <w:szCs w:val="20"/>
              </w:rPr>
              <w:t>НМЦД*</w:t>
            </w:r>
            <w:r w:rsidR="00C70741">
              <w:rPr>
                <w:sz w:val="20"/>
                <w:szCs w:val="20"/>
              </w:rPr>
              <w:t>2</w:t>
            </w:r>
            <w:r w:rsidRPr="004B3C43">
              <w:rPr>
                <w:sz w:val="20"/>
                <w:szCs w:val="20"/>
              </w:rPr>
              <w:t xml:space="preserve"> (максимальное количество баллов 100)</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Оценивается </w:t>
            </w:r>
            <w:r w:rsidRPr="004B3C43">
              <w:rPr>
                <w:rFonts w:ascii="Times New Roman" w:hAnsi="Times New Roman" w:cs="Times New Roman"/>
                <w:i/>
                <w:color w:val="000000"/>
                <w:kern w:val="3"/>
                <w:sz w:val="20"/>
                <w:szCs w:val="20"/>
              </w:rPr>
              <w:t>общая цена исполненных участником закупки договоров (контрактов) по выполнению работ, относящихся к той же группе работ</w:t>
            </w:r>
            <w:r w:rsidRPr="004B3C43">
              <w:rPr>
                <w:rFonts w:ascii="Times New Roman" w:hAnsi="Times New Roman" w:cs="Times New Roman"/>
                <w:color w:val="000000"/>
                <w:kern w:val="3"/>
                <w:sz w:val="20"/>
                <w:szCs w:val="20"/>
              </w:rPr>
              <w:t xml:space="preserve">: </w:t>
            </w:r>
            <w:r>
              <w:rPr>
                <w:rFonts w:ascii="Times New Roman" w:hAnsi="Times New Roman" w:cs="Times New Roman"/>
                <w:color w:val="000000"/>
                <w:kern w:val="3"/>
                <w:sz w:val="20"/>
                <w:szCs w:val="20"/>
              </w:rPr>
              <w:t>снос объектов капитального строения</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w:t>
            </w:r>
            <w:r>
              <w:rPr>
                <w:rFonts w:ascii="Times New Roman" w:hAnsi="Times New Roman" w:cs="Times New Roman"/>
                <w:color w:val="000000"/>
                <w:kern w:val="3"/>
                <w:sz w:val="20"/>
                <w:szCs w:val="20"/>
              </w:rPr>
              <w:t xml:space="preserve"> (снос объектов капитального строения)</w:t>
            </w:r>
            <w:r w:rsidRPr="004B3C43">
              <w:rPr>
                <w:rFonts w:ascii="Times New Roman" w:hAnsi="Times New Roman" w:cs="Times New Roman"/>
                <w:color w:val="000000"/>
                <w:kern w:val="3"/>
                <w:sz w:val="20"/>
                <w:szCs w:val="20"/>
              </w:rPr>
              <w:t>, которые принимаются к оценке:</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-Исполненный договор (договоры) на выполнение работ, относящихся к той же группе работ.</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-Акт (акты) приемки выполненных работ, составленные при исполнении каждого договора (договоров). Последний акт, составленный при исполнении договора должен быть подписан не ранее чем за </w:t>
            </w:r>
            <w:r>
              <w:rPr>
                <w:rFonts w:ascii="Times New Roman" w:hAnsi="Times New Roman" w:cs="Times New Roman"/>
                <w:color w:val="000000"/>
                <w:kern w:val="3"/>
                <w:sz w:val="20"/>
                <w:szCs w:val="20"/>
              </w:rPr>
              <w:t>3</w:t>
            </w:r>
            <w:r w:rsidRPr="004B3C43">
              <w:rPr>
                <w:rFonts w:ascii="Times New Roman" w:hAnsi="Times New Roman" w:cs="Times New Roman"/>
                <w:color w:val="000000"/>
                <w:kern w:val="3"/>
                <w:sz w:val="20"/>
                <w:szCs w:val="20"/>
              </w:rPr>
              <w:t xml:space="preserve"> лет до даты окончания срока подачи заявок. </w:t>
            </w:r>
          </w:p>
          <w:p w:rsidR="000C7810" w:rsidRPr="004B3C43" w:rsidRDefault="000C7810" w:rsidP="000C7810">
            <w:pPr>
              <w:tabs>
                <w:tab w:val="left" w:pos="4806"/>
              </w:tabs>
              <w:autoSpaceDE w:val="0"/>
              <w:autoSpaceDN w:val="0"/>
              <w:adjustRightInd w:val="0"/>
              <w:ind w:right="141"/>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lastRenderedPageBreak/>
              <w:t>Комиссия оценивает наличие опыта работы на основании сведений, представленных в форме «Справка о перечне и объемах выполнения договоров» (Приложение №4 к документации о закупке), и при наличии в составе заявки копий вышеуказанных подтверждающих документов.</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К оценке принимаются исполненные участником закупки с учетом правопреемства (в случае наличия в заявке подтверждающего документа) государственные/муниципальные контракты, гражданско-правовые договоры, заключенные и исполненные в соответствии с Федеральным законом от 05.04.2013 №44-ФЗ, Федеральным законом от 18.07.2011 №223-ФЗ.</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Документы направляются участником закупки в форме электронных документов или в форме электронных образов бумажных документов (подписанных уполномоченным лицом и скрепленных печатью либо подписанных ЭЦП).</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contextualSpacing/>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Каждый контракт/договор должен быть исполнен участником закупки в полном объеме в соответствии с условиями, установленными в таком контракте/договоре.</w:t>
            </w:r>
          </w:p>
          <w:p w:rsidR="000C7810" w:rsidRPr="004B3C43" w:rsidRDefault="000C7810" w:rsidP="000C7810">
            <w:pPr>
              <w:contextualSpacing/>
              <w:jc w:val="both"/>
              <w:rPr>
                <w:rFonts w:ascii="Times New Roman" w:hAnsi="Times New Roman" w:cs="Times New Roman"/>
                <w:color w:val="000000"/>
                <w:kern w:val="3"/>
                <w:sz w:val="20"/>
                <w:szCs w:val="20"/>
              </w:rPr>
            </w:pP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 xml:space="preserve">Обязательное условие: сумма актов оказанных услуг должна быть равна сумме исполненного договора (контракта).  Если сумма договора (контракта) менялась необходимо приложить копию дополнительного соглашения об изменении цены договора (контракта) (либо другой подтверждающий документ). При несоответствии данного требования сведения из заявки участника при оценке критерия в отношении данного Участника считаются не подтвержденными и не учитываются при оценке. Договоры (контракты) также не принимаются к оценке при отсутствии в них следующей информации: предмета </w:t>
            </w:r>
            <w:proofErr w:type="gramStart"/>
            <w:r w:rsidRPr="004B3C43">
              <w:rPr>
                <w:rFonts w:ascii="Times New Roman" w:hAnsi="Times New Roman" w:cs="Times New Roman"/>
                <w:i/>
                <w:color w:val="000000"/>
                <w:kern w:val="3"/>
                <w:sz w:val="20"/>
                <w:szCs w:val="20"/>
              </w:rPr>
              <w:t>договора;  реквизитов</w:t>
            </w:r>
            <w:proofErr w:type="gramEnd"/>
            <w:r w:rsidRPr="004B3C43">
              <w:rPr>
                <w:rFonts w:ascii="Times New Roman" w:hAnsi="Times New Roman" w:cs="Times New Roman"/>
                <w:i/>
                <w:color w:val="000000"/>
                <w:kern w:val="3"/>
                <w:sz w:val="20"/>
                <w:szCs w:val="20"/>
              </w:rPr>
              <w:t xml:space="preserve"> (дата заключения); подписи хотя бы одной из сторон; сведений о количестве и адресах  каждого из обслуживаемых объектов; наименования и контактных данных конечного заказчика услуг (для договоров, по которым Участник привлекался в качестве субподрядчика или соисполнителя).</w:t>
            </w: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В случае отсутствия в составе заявки участника закупки копий исполненных договоров (контрактов) (приложений и изменений к ним при наличии) и надлежаще оформленных актов сдачи-приемки работ/услуг, подтверждающих сведения по показателю «Опыт участника закупки по успешному оказанию услуг сопоставимого характера и объема», соответствующего предмету закупки, такой договор (контракт) при определении баллов по настоящему критерию не будет учитываться.</w:t>
            </w: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Ненадлежащее исполненные договора (контракты) для расчета баллов по настоящему показателю критерия оценки учитываться не будут.</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i/>
                <w:color w:val="000000"/>
                <w:kern w:val="3"/>
                <w:sz w:val="20"/>
                <w:szCs w:val="20"/>
              </w:rPr>
              <w:t>Надлежаще исполненным договором (контрактом) считается договор (контракт), обязательства по которому полностью исполнены участником закупки, полностью приняты заказчиком, отсутствуют на день окончания подачи заявок, вступившие в законную силу судебные акты, вынесенные не в пользу участника закупки, связанные с неисполнением или ненадлежащим исполнением участником закупки своих обязательств по договору (контракту), отсутствуют на день окончания подачи заявок взысканные с участника закупки неустойки (штрафы, пени) в связи с неисполнением или ненадлежащим исполнением участником закупки своих обязательств по договору (контракту).</w:t>
            </w:r>
          </w:p>
        </w:tc>
      </w:tr>
      <w:tr w:rsidR="000C7810" w:rsidRPr="00F25549" w:rsidTr="00F25549">
        <w:trPr>
          <w:trHeight w:val="273"/>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(2)</w:t>
            </w:r>
          </w:p>
        </w:tc>
        <w:tc>
          <w:tcPr>
            <w:tcW w:w="1041"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0C7810" w:rsidRPr="00F25549" w:rsidRDefault="009023E3" w:rsidP="009023E3">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30</w:t>
            </w:r>
            <w:r w:rsidR="000C7810" w:rsidRPr="00F25549">
              <w:rPr>
                <w:rFonts w:ascii="Times New Roman" w:hAnsi="Times New Roman" w:cs="Times New Roman"/>
                <w:color w:val="000000"/>
                <w:kern w:val="3"/>
                <w:sz w:val="20"/>
                <w:szCs w:val="20"/>
              </w:rPr>
              <w:t xml:space="preserve">% </w:t>
            </w:r>
            <w:r w:rsidR="000C7810" w:rsidRPr="00F25549">
              <w:rPr>
                <w:sz w:val="20"/>
                <w:szCs w:val="20"/>
              </w:rPr>
              <w:t xml:space="preserve">(максимальное количество баллов </w:t>
            </w:r>
            <w:r>
              <w:rPr>
                <w:sz w:val="20"/>
                <w:szCs w:val="20"/>
              </w:rPr>
              <w:t>30</w:t>
            </w:r>
            <w:r w:rsidR="000C7810" w:rsidRPr="00F25549">
              <w:rPr>
                <w:sz w:val="20"/>
                <w:szCs w:val="20"/>
              </w:rPr>
              <w:t>)</w:t>
            </w:r>
          </w:p>
        </w:tc>
        <w:tc>
          <w:tcPr>
            <w:tcW w:w="9747" w:type="dxa"/>
          </w:tcPr>
          <w:p w:rsidR="000C7810" w:rsidRPr="00F25549" w:rsidRDefault="000C7810" w:rsidP="000C7810">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F25549" w:rsidRDefault="000C7810" w:rsidP="000C7810">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в качестве ответчика, связанного с неисполнением и/ или ненадлежащим исполнением обязательств по контракту/ договору в рамках Федерального закона РФ от 18.07.2011 года № 223-ФЗ «О закупках товаров, работ, услуг отдельными видами юридических лиц», Федерального закона РФ от 05.04.2013 № 44-ФЗ «О контрактной системе в сфере закупок товаров, работ, услуг для обеспечения государственных и муниципальных нужд», сопоставимому с предметом закупки. Участнику необходимо указать «наличие» либо «отсутствие» в соответствующей форме к заявке.</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r w:rsidR="000C7810" w:rsidRPr="00F25549" w:rsidTr="006824EB">
        <w:trPr>
          <w:trHeight w:val="3057"/>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tc>
        <w:tc>
          <w:tcPr>
            <w:tcW w:w="1041"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0C7810" w:rsidRPr="00F25549" w:rsidRDefault="009023E3" w:rsidP="009023E3">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30</w:t>
            </w:r>
            <w:r w:rsidR="000C7810" w:rsidRPr="00F25549">
              <w:rPr>
                <w:rFonts w:ascii="Times New Roman" w:hAnsi="Times New Roman" w:cs="Times New Roman"/>
                <w:color w:val="000000"/>
                <w:kern w:val="3"/>
                <w:sz w:val="20"/>
                <w:szCs w:val="20"/>
              </w:rPr>
              <w:t xml:space="preserve">% </w:t>
            </w:r>
            <w:r w:rsidR="000C7810" w:rsidRPr="00F25549">
              <w:rPr>
                <w:sz w:val="20"/>
                <w:szCs w:val="20"/>
              </w:rPr>
              <w:t xml:space="preserve">(максимальное количество баллов </w:t>
            </w:r>
            <w:r>
              <w:rPr>
                <w:sz w:val="20"/>
                <w:szCs w:val="20"/>
              </w:rPr>
              <w:t>30</w:t>
            </w:r>
            <w:r w:rsidR="000C7810" w:rsidRPr="00F25549">
              <w:rPr>
                <w:sz w:val="20"/>
                <w:szCs w:val="20"/>
              </w:rPr>
              <w:t>)</w:t>
            </w:r>
          </w:p>
        </w:tc>
        <w:tc>
          <w:tcPr>
            <w:tcW w:w="9747" w:type="dxa"/>
          </w:tcPr>
          <w:p w:rsidR="000C7810" w:rsidRPr="00F25549" w:rsidRDefault="000C7810" w:rsidP="000C7810">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F25549" w:rsidRDefault="000C7810" w:rsidP="000C7810">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с контрагентами о взыскании денежных средств, в которых участник закупки привлечен в качестве ответчика, связанного с неисполнением и/ или ненадлежащим исполнением обязательств по договору, сопоставимому с предме</w:t>
            </w:r>
            <w:r>
              <w:rPr>
                <w:rFonts w:ascii="Times New Roman" w:hAnsi="Times New Roman" w:cs="Times New Roman"/>
                <w:i/>
                <w:color w:val="000000"/>
                <w:kern w:val="3"/>
                <w:sz w:val="20"/>
                <w:szCs w:val="20"/>
              </w:rPr>
              <w:t>том договора</w:t>
            </w:r>
            <w:r w:rsidRPr="00F25549">
              <w:rPr>
                <w:rFonts w:ascii="Times New Roman" w:hAnsi="Times New Roman" w:cs="Times New Roman"/>
                <w:i/>
                <w:color w:val="000000"/>
                <w:kern w:val="3"/>
                <w:sz w:val="20"/>
                <w:szCs w:val="20"/>
              </w:rPr>
              <w:t>. Участнику необходимо указать «наличие» либо «отсутствие» в соответствующей форме к заявке.</w:t>
            </w:r>
          </w:p>
          <w:p w:rsidR="000C7810" w:rsidRPr="00F25549" w:rsidRDefault="000C7810" w:rsidP="000C7810">
            <w:pPr>
              <w:contextualSpacing/>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bl>
    <w:p w:rsidR="00EF5D16" w:rsidRPr="00B40AF7" w:rsidRDefault="00EF5D16" w:rsidP="00661CE1">
      <w:pPr>
        <w:pStyle w:val="ac"/>
        <w:autoSpaceDN w:val="0"/>
        <w:ind w:left="0" w:firstLine="567"/>
        <w:jc w:val="both"/>
        <w:textAlignment w:val="baseline"/>
        <w:rPr>
          <w:rFonts w:ascii="Times New Roman" w:hAnsi="Times New Roman" w:cs="Times New Roman"/>
          <w:color w:val="000000"/>
          <w:kern w:val="3"/>
          <w:sz w:val="22"/>
          <w:szCs w:val="22"/>
        </w:rPr>
      </w:pPr>
    </w:p>
    <w:p w:rsidR="00D12F0C" w:rsidRPr="00095F8A" w:rsidRDefault="0021780A" w:rsidP="00661CE1">
      <w:pPr>
        <w:pStyle w:val="ac"/>
        <w:autoSpaceDN w:val="0"/>
        <w:ind w:left="0" w:firstLine="567"/>
        <w:jc w:val="both"/>
        <w:textAlignment w:val="baseline"/>
        <w:rPr>
          <w:rFonts w:ascii="Times New Roman" w:hAnsi="Times New Roman" w:cs="Times New Roman"/>
          <w:color w:val="000000"/>
          <w:kern w:val="3"/>
          <w:sz w:val="22"/>
          <w:szCs w:val="22"/>
        </w:rPr>
      </w:pPr>
      <w:r w:rsidRPr="00661CE1">
        <w:rPr>
          <w:rFonts w:ascii="Times New Roman" w:hAnsi="Times New Roman" w:cs="Times New Roman"/>
          <w:color w:val="000000"/>
          <w:kern w:val="3"/>
          <w:sz w:val="22"/>
          <w:szCs w:val="22"/>
        </w:rPr>
        <w:t xml:space="preserve">Представленные документы должны быть в виде </w:t>
      </w:r>
      <w:r w:rsidR="007767D3" w:rsidRPr="00661CE1">
        <w:rPr>
          <w:rFonts w:ascii="Times New Roman" w:hAnsi="Times New Roman" w:cs="Times New Roman"/>
          <w:color w:val="000000"/>
          <w:kern w:val="3"/>
          <w:sz w:val="22"/>
          <w:szCs w:val="22"/>
        </w:rPr>
        <w:t>полно читаемых</w:t>
      </w:r>
      <w:r w:rsidRPr="00661CE1">
        <w:rPr>
          <w:rFonts w:ascii="Times New Roman" w:hAnsi="Times New Roman" w:cs="Times New Roman"/>
          <w:color w:val="000000"/>
          <w:kern w:val="3"/>
          <w:sz w:val="22"/>
          <w:szCs w:val="22"/>
        </w:rPr>
        <w:t xml:space="preserve"> копий, на которых видны необходимые сведения, подписи и печати.  Документы, предоставленные в нечитаемо</w:t>
      </w:r>
      <w:r w:rsidR="009023E3">
        <w:rPr>
          <w:rFonts w:ascii="Times New Roman" w:hAnsi="Times New Roman" w:cs="Times New Roman"/>
          <w:color w:val="000000"/>
          <w:kern w:val="3"/>
          <w:sz w:val="22"/>
          <w:szCs w:val="22"/>
        </w:rPr>
        <w:t xml:space="preserve">м </w:t>
      </w:r>
      <w:bookmarkStart w:id="0" w:name="_GoBack"/>
      <w:bookmarkEnd w:id="0"/>
      <w:r w:rsidRPr="00661CE1">
        <w:rPr>
          <w:rFonts w:ascii="Times New Roman" w:hAnsi="Times New Roman" w:cs="Times New Roman"/>
          <w:color w:val="000000"/>
          <w:kern w:val="3"/>
          <w:sz w:val="22"/>
          <w:szCs w:val="22"/>
        </w:rPr>
        <w:t>виде</w:t>
      </w:r>
      <w:r w:rsidR="005A47D0">
        <w:rPr>
          <w:rFonts w:ascii="Times New Roman" w:hAnsi="Times New Roman" w:cs="Times New Roman"/>
          <w:color w:val="000000"/>
          <w:kern w:val="3"/>
          <w:sz w:val="22"/>
          <w:szCs w:val="22"/>
        </w:rPr>
        <w:t>, в неполном объеме</w:t>
      </w:r>
      <w:r w:rsidRPr="00661CE1">
        <w:rPr>
          <w:rFonts w:ascii="Times New Roman" w:hAnsi="Times New Roman" w:cs="Times New Roman"/>
          <w:color w:val="000000"/>
          <w:kern w:val="3"/>
          <w:sz w:val="22"/>
          <w:szCs w:val="22"/>
        </w:rPr>
        <w:t xml:space="preserve">  при оценке заявок  учитываться не будут.</w:t>
      </w:r>
    </w:p>
    <w:p w:rsidR="00DB7B17" w:rsidRDefault="00DB7B17" w:rsidP="00DB7B17">
      <w:pPr>
        <w:autoSpaceDN w:val="0"/>
        <w:textAlignment w:val="baseline"/>
        <w:rPr>
          <w:rFonts w:ascii="Times New Roman" w:hAnsi="Times New Roman" w:cs="Times New Roman"/>
          <w:color w:val="000000"/>
          <w:kern w:val="3"/>
          <w:sz w:val="22"/>
          <w:szCs w:val="22"/>
        </w:rPr>
      </w:pPr>
    </w:p>
    <w:p w:rsidR="00DA497A" w:rsidRPr="00DB7B17" w:rsidRDefault="00DB7B17" w:rsidP="00DB7B17">
      <w:pPr>
        <w:autoSpaceDN w:val="0"/>
        <w:textAlignment w:val="baseline"/>
        <w:rPr>
          <w:rFonts w:ascii="Times New Roman" w:hAnsi="Times New Roman" w:cs="Times New Roman"/>
          <w:b/>
          <w:bCs/>
          <w:color w:val="000000"/>
          <w:kern w:val="3"/>
          <w:sz w:val="22"/>
          <w:szCs w:val="22"/>
        </w:rPr>
      </w:pPr>
      <w:r>
        <w:rPr>
          <w:rFonts w:ascii="Times New Roman" w:hAnsi="Times New Roman" w:cs="Times New Roman"/>
          <w:color w:val="000000"/>
          <w:kern w:val="3"/>
          <w:sz w:val="22"/>
          <w:szCs w:val="22"/>
        </w:rPr>
        <w:t xml:space="preserve"> </w:t>
      </w:r>
      <w:r w:rsidRPr="00DB7B17">
        <w:rPr>
          <w:rFonts w:ascii="Times New Roman" w:hAnsi="Times New Roman" w:cs="Times New Roman"/>
          <w:b/>
          <w:bCs/>
          <w:color w:val="000000"/>
          <w:kern w:val="3"/>
          <w:sz w:val="22"/>
          <w:szCs w:val="22"/>
        </w:rPr>
        <w:t xml:space="preserve">3. </w:t>
      </w:r>
      <w:r w:rsidR="00DA497A" w:rsidRPr="00DB7B17">
        <w:rPr>
          <w:rFonts w:ascii="Times New Roman" w:hAnsi="Times New Roman" w:cs="Times New Roman"/>
          <w:b/>
          <w:bCs/>
          <w:color w:val="000000"/>
          <w:kern w:val="3"/>
          <w:sz w:val="22"/>
          <w:szCs w:val="22"/>
        </w:rPr>
        <w:t>Оценка заявок (предложений) по стоимостным критериям оценки</w:t>
      </w:r>
    </w:p>
    <w:p w:rsidR="00DB7B17" w:rsidRDefault="00DB7B17" w:rsidP="00B77C07">
      <w:pPr>
        <w:autoSpaceDN w:val="0"/>
        <w:textAlignment w:val="baseline"/>
        <w:rPr>
          <w:rFonts w:ascii="Times New Roman" w:hAnsi="Times New Roman" w:cs="Times New Roman"/>
          <w:b/>
          <w:bCs/>
          <w:color w:val="000000"/>
          <w:kern w:val="3"/>
          <w:sz w:val="22"/>
          <w:szCs w:val="22"/>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3.1. Для оценки заявок (предложений) заказчик устанавливает в документации о закупке следующие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характеризующиеся как стоимостные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б) характеризующиеся как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качественные характеристики объекта закупок;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квалификация участников закупки, в том числе наличие у них финансовых ресурсов, оборудования и других</w:t>
      </w:r>
      <w:r w:rsidRPr="004B3C43">
        <w:rPr>
          <w:rFonts w:ascii="Times New Roman" w:eastAsia="SimSun" w:hAnsi="Times New Roman" w:cs="Times New Roman"/>
          <w:b/>
          <w:i/>
          <w:color w:val="000000"/>
          <w:kern w:val="0"/>
          <w:sz w:val="20"/>
          <w:szCs w:val="20"/>
          <w:lang w:eastAsia="ru-RU" w:bidi="ar-SA"/>
        </w:rPr>
        <w:t xml:space="preserve"> </w:t>
      </w:r>
      <w:r w:rsidRPr="004B3C43">
        <w:rPr>
          <w:rFonts w:ascii="Times New Roman" w:eastAsia="SimSun" w:hAnsi="Times New Roman" w:cs="Times New Roman"/>
          <w:color w:val="000000"/>
          <w:kern w:val="0"/>
          <w:sz w:val="20"/>
          <w:szCs w:val="20"/>
          <w:lang w:eastAsia="ru-RU" w:bidi="ar-SA"/>
        </w:rPr>
        <w:t>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срок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lastRenderedPageBreak/>
        <w:t xml:space="preserve">3.2.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w:t>
      </w:r>
      <w:proofErr w:type="spellStart"/>
      <w:r w:rsidRPr="004B3C43">
        <w:rPr>
          <w:rFonts w:ascii="Times New Roman" w:eastAsia="SimSun" w:hAnsi="Times New Roman" w:cs="Times New Roman"/>
          <w:color w:val="000000"/>
          <w:kern w:val="0"/>
          <w:sz w:val="20"/>
          <w:szCs w:val="20"/>
          <w:lang w:eastAsia="ru-RU" w:bidi="ar-SA"/>
        </w:rPr>
        <w:t>нестоимостной</w:t>
      </w:r>
      <w:proofErr w:type="spellEnd"/>
      <w:r w:rsidRPr="004B3C43">
        <w:rPr>
          <w:rFonts w:ascii="Times New Roman" w:eastAsia="SimSun" w:hAnsi="Times New Roman" w:cs="Times New Roman"/>
          <w:color w:val="000000"/>
          <w:kern w:val="0"/>
          <w:sz w:val="20"/>
          <w:szCs w:val="20"/>
          <w:lang w:eastAsia="ru-RU" w:bidi="ar-SA"/>
        </w:rPr>
        <w:t xml:space="preserve"> критерий).</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3.3. В документации о закупке в отношении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могут быть предусмотрены показатели, раскрывающие содержание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и учитывающие особенности оценки закупаемых товаров, услуг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каждому </w:t>
      </w:r>
      <w:proofErr w:type="spellStart"/>
      <w:r w:rsidRPr="004B3C43">
        <w:rPr>
          <w:rFonts w:ascii="Times New Roman" w:eastAsia="SimSun" w:hAnsi="Times New Roman" w:cs="Times New Roman"/>
          <w:color w:val="000000"/>
          <w:kern w:val="0"/>
          <w:sz w:val="20"/>
          <w:szCs w:val="20"/>
          <w:lang w:eastAsia="ru-RU" w:bidi="ar-SA"/>
        </w:rPr>
        <w:t>нестоимостному</w:t>
      </w:r>
      <w:proofErr w:type="spellEnd"/>
      <w:r w:rsidRPr="004B3C43">
        <w:rPr>
          <w:rFonts w:ascii="Times New Roman" w:eastAsia="SimSun" w:hAnsi="Times New Roman" w:cs="Times New Roman"/>
          <w:color w:val="000000"/>
          <w:kern w:val="0"/>
          <w:sz w:val="20"/>
          <w:szCs w:val="20"/>
          <w:lang w:eastAsia="ru-RU" w:bidi="ar-SA"/>
        </w:rPr>
        <w:t xml:space="preserve"> критерию оценки используется 100-балльная шкала оценки. Если в отношении </w:t>
      </w:r>
      <w:proofErr w:type="spellStart"/>
      <w:r w:rsidRPr="004B3C43">
        <w:rPr>
          <w:rFonts w:ascii="Times New Roman" w:eastAsia="SimSun" w:hAnsi="Times New Roman" w:cs="Times New Roman"/>
          <w:color w:val="000000"/>
          <w:kern w:val="0"/>
          <w:sz w:val="20"/>
          <w:szCs w:val="20"/>
          <w:lang w:eastAsia="ru-RU" w:bidi="ar-SA"/>
        </w:rPr>
        <w:t>нестоимостого</w:t>
      </w:r>
      <w:proofErr w:type="spellEnd"/>
      <w:r w:rsidRPr="004B3C43">
        <w:rPr>
          <w:rFonts w:ascii="Times New Roman" w:eastAsia="SimSun" w:hAnsi="Times New Roman" w:cs="Times New Roman"/>
          <w:color w:val="000000"/>
          <w:kern w:val="0"/>
          <w:sz w:val="20"/>
          <w:szCs w:val="20"/>
          <w:lang w:eastAsia="ru-RU" w:bidi="ar-SA"/>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3.4. Сумма величин значимости показателей критерия оценки должна составлять 100 процентов.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Предельные величины значимости критериев устанавливаются в следующем порядке:</w:t>
      </w:r>
    </w:p>
    <w:tbl>
      <w:tblPr>
        <w:tblW w:w="14519" w:type="dxa"/>
        <w:tblInd w:w="66" w:type="dxa"/>
        <w:tblLayout w:type="fixed"/>
        <w:tblCellMar>
          <w:left w:w="10" w:type="dxa"/>
          <w:right w:w="10" w:type="dxa"/>
        </w:tblCellMar>
        <w:tblLook w:val="04A0" w:firstRow="1" w:lastRow="0" w:firstColumn="1" w:lastColumn="0" w:noHBand="0" w:noVBand="1"/>
      </w:tblPr>
      <w:tblGrid>
        <w:gridCol w:w="6562"/>
        <w:gridCol w:w="7957"/>
      </w:tblGrid>
      <w:tr w:rsidR="00DB7B17" w:rsidRPr="004B3C43" w:rsidTr="005C5118">
        <w:trPr>
          <w:trHeight w:val="108"/>
        </w:trPr>
        <w:tc>
          <w:tcPr>
            <w:tcW w:w="14518"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Предельные величины значимости критериев оценки</w:t>
            </w:r>
          </w:p>
        </w:tc>
      </w:tr>
      <w:tr w:rsidR="00DB7B17" w:rsidRPr="004B3C43" w:rsidTr="005C5118">
        <w:trPr>
          <w:trHeight w:val="205"/>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минимальная значимость стоимостных критериев оценки (процентов)</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 xml:space="preserve">максимальная значимость </w:t>
            </w:r>
            <w:proofErr w:type="spellStart"/>
            <w:r w:rsidRPr="004B3C43">
              <w:rPr>
                <w:rFonts w:ascii="Times New Roman" w:eastAsia="SimSun" w:hAnsi="Times New Roman" w:cs="Times New Roman"/>
                <w:color w:val="000000"/>
                <w:sz w:val="20"/>
                <w:szCs w:val="20"/>
              </w:rPr>
              <w:t>нестоимостных</w:t>
            </w:r>
            <w:proofErr w:type="spellEnd"/>
            <w:r w:rsidRPr="004B3C43">
              <w:rPr>
                <w:rFonts w:ascii="Times New Roman" w:eastAsia="SimSun" w:hAnsi="Times New Roman" w:cs="Times New Roman"/>
                <w:color w:val="000000"/>
                <w:sz w:val="20"/>
                <w:szCs w:val="20"/>
              </w:rPr>
              <w:t xml:space="preserve"> критериев оценки (процентов)</w:t>
            </w:r>
          </w:p>
        </w:tc>
      </w:tr>
      <w:tr w:rsidR="00DB7B17" w:rsidRPr="004B3C43" w:rsidTr="005C5118">
        <w:trPr>
          <w:trHeight w:val="102"/>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lang w:val="en-US"/>
              </w:rPr>
              <w:t>50</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16770A"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50</w:t>
            </w: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3.5.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3.6. Итоговый рейтинг заявки (предложения) вычисляется как сумма рейтингов по каждому критерию оценки заявки (предложения).</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Итоговый рейтинг заявки рассчитывается путем сложения баллов (рейтингов) по каждому критерию оценки заявки, установленному в документации:</w:t>
      </w:r>
    </w:p>
    <w:p w:rsidR="00DB7B17" w:rsidRPr="004B3C43" w:rsidRDefault="00DB7B17" w:rsidP="00DB7B17">
      <w:pPr>
        <w:autoSpaceDN w:val="0"/>
        <w:jc w:val="both"/>
        <w:textAlignment w:val="baseline"/>
        <w:rPr>
          <w:rFonts w:ascii="Times New Roman" w:hAnsi="Times New Roman" w:cs="Times New Roman"/>
          <w:b/>
          <w:color w:val="000000"/>
          <w:kern w:val="3"/>
          <w:sz w:val="20"/>
          <w:szCs w:val="20"/>
        </w:rPr>
      </w:pPr>
      <w:r w:rsidRPr="004B3C43">
        <w:rPr>
          <w:rFonts w:ascii="Times New Roman" w:hAnsi="Times New Roman" w:cs="Times New Roman"/>
          <w:b/>
          <w:color w:val="000000"/>
          <w:kern w:val="3"/>
          <w:sz w:val="20"/>
          <w:szCs w:val="20"/>
        </w:rPr>
        <w:t>Итоговый рейтинг =</w:t>
      </w:r>
      <w:r w:rsidRPr="004B3C43">
        <w:rPr>
          <w:rFonts w:ascii="Times New Roman" w:hAnsi="Times New Roman" w:cs="Times New Roman"/>
          <w:color w:val="000000"/>
          <w:kern w:val="3"/>
          <w:sz w:val="20"/>
          <w:szCs w:val="20"/>
        </w:rPr>
        <w:t xml:space="preserve"> </w:t>
      </w:r>
      <w:proofErr w:type="spellStart"/>
      <w:r w:rsidRPr="004B3C43">
        <w:rPr>
          <w:rFonts w:ascii="Times New Roman" w:hAnsi="Times New Roman" w:cs="Times New Roman"/>
          <w:b/>
          <w:color w:val="000000"/>
          <w:kern w:val="3"/>
          <w:sz w:val="20"/>
          <w:szCs w:val="20"/>
        </w:rPr>
        <w:t>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w:t>
      </w:r>
      <w:proofErr w:type="gramStart"/>
      <w:r w:rsidRPr="004B3C43">
        <w:rPr>
          <w:rFonts w:ascii="Times New Roman" w:hAnsi="Times New Roman" w:cs="Times New Roman"/>
          <w:b/>
          <w:color w:val="000000"/>
          <w:kern w:val="3"/>
          <w:sz w:val="20"/>
          <w:szCs w:val="20"/>
        </w:rPr>
        <w:t>1)+</w:t>
      </w:r>
      <w:proofErr w:type="gram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(2)</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(3</w:t>
      </w:r>
      <w:r w:rsidRPr="00014F7F">
        <w:rPr>
          <w:rFonts w:ascii="Times New Roman" w:hAnsi="Times New Roman" w:cs="Times New Roman"/>
          <w:b/>
          <w:color w:val="000000"/>
          <w:kern w:val="3"/>
          <w:sz w:val="20"/>
          <w:szCs w:val="20"/>
        </w:rPr>
        <w:t>)</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(4</w:t>
      </w:r>
      <w:r w:rsidRPr="00014F7F">
        <w:rPr>
          <w:rFonts w:ascii="Times New Roman" w:hAnsi="Times New Roman" w:cs="Times New Roman"/>
          <w:b/>
          <w:color w:val="000000"/>
          <w:kern w:val="3"/>
          <w:sz w:val="20"/>
          <w:szCs w:val="20"/>
        </w:rPr>
        <w:t>)</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По результатам расчета итогового рейтинга для каждой заявки им присуждаются порядковые номера. </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sz w:val="20"/>
          <w:szCs w:val="20"/>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4B3C43">
        <w:rPr>
          <w:rFonts w:ascii="Times New Roman" w:hAnsi="Times New Roman" w:cs="Times New Roman"/>
          <w:color w:val="000000"/>
          <w:kern w:val="3"/>
          <w:sz w:val="20"/>
          <w:szCs w:val="20"/>
        </w:rPr>
        <w:t xml:space="preserve"> Последующие номера присваиваются заявкам по мере уменьшения их итогового рейтинга. При равенстве оценок по всем критериям предпочтение отдается заявке, которая поступила ранее.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стоимостным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1"/>
          <w:numId w:val="7"/>
        </w:numPr>
        <w:autoSpaceDN w:val="0"/>
        <w:ind w:left="0" w:firstLine="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присуждаемых по критериям оценки «цена договора или сумма цен единиц товара, работы, услуги» (</w:t>
      </w:r>
      <w:proofErr w:type="spellStart"/>
      <w:r w:rsidRPr="004B3C43">
        <w:rPr>
          <w:rFonts w:ascii="Times New Roman" w:eastAsia="SimSun" w:hAnsi="Times New Roman" w:cs="Times New Roman"/>
          <w:color w:val="000000"/>
          <w:kern w:val="0"/>
          <w:sz w:val="20"/>
          <w:szCs w:val="20"/>
          <w:lang w:eastAsia="ru-RU" w:bidi="ar-SA"/>
        </w:rPr>
        <w:t>ЦБi</w:t>
      </w:r>
      <w:proofErr w:type="spellEnd"/>
      <w:proofErr w:type="gramStart"/>
      <w:r w:rsidRPr="004B3C43">
        <w:rPr>
          <w:rFonts w:ascii="Times New Roman" w:eastAsia="SimSun" w:hAnsi="Times New Roman" w:cs="Times New Roman"/>
          <w:color w:val="000000"/>
          <w:kern w:val="0"/>
          <w:sz w:val="20"/>
          <w:szCs w:val="20"/>
          <w:lang w:eastAsia="ru-RU" w:bidi="ar-SA"/>
        </w:rPr>
        <w:t>)  определяется</w:t>
      </w:r>
      <w:proofErr w:type="gramEnd"/>
      <w:r w:rsidRPr="004B3C43">
        <w:rPr>
          <w:rFonts w:ascii="Times New Roman" w:eastAsia="SimSun" w:hAnsi="Times New Roman" w:cs="Times New Roman"/>
          <w:color w:val="000000"/>
          <w:kern w:val="0"/>
          <w:sz w:val="20"/>
          <w:szCs w:val="20"/>
          <w:lang w:eastAsia="ru-RU" w:bidi="ar-SA"/>
        </w:rPr>
        <w:t xml:space="preserve">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3120" w:type="dxa"/>
        <w:tblInd w:w="294" w:type="dxa"/>
        <w:tblLayout w:type="fixed"/>
        <w:tblCellMar>
          <w:left w:w="10" w:type="dxa"/>
          <w:right w:w="10" w:type="dxa"/>
        </w:tblCellMar>
        <w:tblLook w:val="04A0" w:firstRow="1" w:lastRow="0" w:firstColumn="1" w:lastColumn="0" w:noHBand="0" w:noVBand="1"/>
      </w:tblPr>
      <w:tblGrid>
        <w:gridCol w:w="900"/>
        <w:gridCol w:w="1200"/>
        <w:gridCol w:w="1020"/>
      </w:tblGrid>
      <w:tr w:rsidR="00DB7B17" w:rsidRPr="004B3C43" w:rsidTr="005C5118">
        <w:tc>
          <w:tcPr>
            <w:tcW w:w="90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ЦБi</w:t>
            </w:r>
            <w:proofErr w:type="spellEnd"/>
            <w:r w:rsidRPr="004B3C43">
              <w:rPr>
                <w:rFonts w:ascii="Times New Roman" w:eastAsia="SimSun" w:hAnsi="Times New Roman" w:cs="Times New Roman"/>
                <w:b/>
                <w:color w:val="000000"/>
                <w:sz w:val="20"/>
                <w:szCs w:val="20"/>
              </w:rPr>
              <w:t xml:space="preserve"> =</w:t>
            </w:r>
          </w:p>
        </w:tc>
        <w:tc>
          <w:tcPr>
            <w:tcW w:w="1200" w:type="dxa"/>
            <w:tcBorders>
              <w:top w:val="nil"/>
              <w:left w:val="nil"/>
              <w:bottom w:val="single" w:sz="4" w:space="0" w:color="000000"/>
              <w:right w:val="nil"/>
            </w:tcBorders>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Цmin</w:t>
            </w:r>
            <w:proofErr w:type="spellEnd"/>
          </w:p>
        </w:tc>
        <w:tc>
          <w:tcPr>
            <w:tcW w:w="102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 xml:space="preserve"> × 100</w:t>
            </w:r>
          </w:p>
        </w:tc>
      </w:tr>
      <w:tr w:rsidR="00DB7B17" w:rsidRPr="004B3C43" w:rsidTr="005C5118">
        <w:tc>
          <w:tcPr>
            <w:tcW w:w="90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200" w:type="dxa"/>
            <w:shd w:val="clear" w:color="auto" w:fill="FFFFFF"/>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Цi</w:t>
            </w:r>
            <w:proofErr w:type="spellEnd"/>
          </w:p>
        </w:tc>
        <w:tc>
          <w:tcPr>
            <w:tcW w:w="102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Цi</w:t>
      </w:r>
      <w:proofErr w:type="spellEnd"/>
      <w:r w:rsidRPr="004B3C43">
        <w:rPr>
          <w:rFonts w:ascii="Times New Roman" w:eastAsia="SimSun" w:hAnsi="Times New Roman" w:cs="Times New Roman"/>
          <w:color w:val="000000"/>
          <w:kern w:val="0"/>
          <w:sz w:val="20"/>
          <w:szCs w:val="20"/>
          <w:lang w:eastAsia="ru-RU" w:bidi="ar-SA"/>
        </w:rPr>
        <w:t xml:space="preserve"> – ценовое предложение участника закупки,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Цmin</w:t>
      </w:r>
      <w:proofErr w:type="spellEnd"/>
      <w:r w:rsidRPr="004B3C43">
        <w:rPr>
          <w:rFonts w:ascii="Times New Roman" w:eastAsia="SimSun" w:hAnsi="Times New Roman" w:cs="Times New Roman"/>
          <w:color w:val="000000"/>
          <w:kern w:val="0"/>
          <w:sz w:val="20"/>
          <w:szCs w:val="20"/>
          <w:lang w:eastAsia="ru-RU" w:bidi="ar-SA"/>
        </w:rPr>
        <w:t xml:space="preserve"> – минимальное ценовое предложение из ценовых предложений по критерию оценки, сделанных участниками закупки;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lastRenderedPageBreak/>
        <w:t>Для расчета итогового рейтинга заявки (предложения)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в соответствии с пунктом 3.6. настоящего Порядка, количество баллов (рейтинг), присуждаемых заявке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DB7B17" w:rsidRPr="004B3C43" w:rsidRDefault="00DB7B17" w:rsidP="00DB7B17">
      <w:pPr>
        <w:autoSpaceDN w:val="0"/>
        <w:jc w:val="both"/>
        <w:rPr>
          <w:rFonts w:ascii="Times New Roman" w:eastAsia="SimSun" w:hAnsi="Times New Roman" w:cs="Times New Roman"/>
          <w:b/>
          <w:bCs/>
          <w:color w:val="000000"/>
          <w:kern w:val="0"/>
          <w:sz w:val="20"/>
          <w:szCs w:val="20"/>
          <w:shd w:val="clear" w:color="auto" w:fill="FFFF0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w:t>
      </w:r>
      <w:proofErr w:type="spellStart"/>
      <w:r w:rsidRPr="004B3C43">
        <w:rPr>
          <w:rFonts w:ascii="Times New Roman" w:eastAsia="SimSun" w:hAnsi="Times New Roman" w:cs="Times New Roman"/>
          <w:b/>
          <w:bCs/>
          <w:color w:val="000000"/>
          <w:kern w:val="0"/>
          <w:sz w:val="20"/>
          <w:szCs w:val="20"/>
          <w:lang w:eastAsia="ru-RU" w:bidi="ar-SA"/>
        </w:rPr>
        <w:t>нестоимостным</w:t>
      </w:r>
      <w:proofErr w:type="spellEnd"/>
      <w:r w:rsidRPr="004B3C43">
        <w:rPr>
          <w:rFonts w:ascii="Times New Roman" w:eastAsia="SimSun" w:hAnsi="Times New Roman" w:cs="Times New Roman"/>
          <w:b/>
          <w:bCs/>
          <w:color w:val="000000"/>
          <w:kern w:val="0"/>
          <w:sz w:val="20"/>
          <w:szCs w:val="20"/>
          <w:lang w:eastAsia="ru-RU" w:bidi="ar-SA"/>
        </w:rPr>
        <w:t xml:space="preserve">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.1.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б) опыт участника по успешной поставке товара, выполнению работ, оказанию услуг сопоставимого характера и объема;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г) обеспеченность участника закупки трудовыми ресурсами;</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д) деловая репутация участника закупки.</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.2.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«качественные характеристики объекта закупок» в том числе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качество товаров (качество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б) функциональные, потребительские свойства товара;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в) соответствие экологическим нормам.</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присваиваемых заявке (предложению) по показателям «качественные характеристики объекта закупок»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B7B17" w:rsidRPr="004B3C43" w:rsidRDefault="00222080" w:rsidP="00DB7B17">
      <w:pPr>
        <w:autoSpaceDN w:val="0"/>
        <w:jc w:val="both"/>
        <w:rPr>
          <w:rFonts w:ascii="Times New Roman" w:eastAsia="SimSun" w:hAnsi="Times New Roman" w:cs="Times New Roman"/>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.3. Оценка заявок (предложений) по </w:t>
      </w:r>
      <w:proofErr w:type="spellStart"/>
      <w:r w:rsidR="00DB7B17" w:rsidRPr="004B3C43">
        <w:rPr>
          <w:rFonts w:ascii="Times New Roman" w:eastAsia="SimSun" w:hAnsi="Times New Roman" w:cs="Times New Roman"/>
          <w:color w:val="000000"/>
          <w:kern w:val="0"/>
          <w:sz w:val="20"/>
          <w:szCs w:val="20"/>
          <w:lang w:eastAsia="ru-RU" w:bidi="ar-SA"/>
        </w:rPr>
        <w:t>нестоимостному</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r w:rsidR="00DB7B17" w:rsidRPr="004B3C43">
        <w:rPr>
          <w:rFonts w:ascii="Times New Roman" w:eastAsia="SimSun" w:hAnsi="Times New Roman" w:cs="Times New Roman"/>
          <w:kern w:val="0"/>
          <w:sz w:val="20"/>
          <w:szCs w:val="20"/>
          <w:lang w:eastAsia="ru-RU" w:bidi="ar-SA"/>
        </w:rPr>
        <w:t>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5.5 настоящего Порядка).</w:t>
      </w:r>
    </w:p>
    <w:p w:rsidR="00DB7B17" w:rsidRPr="004B3C43" w:rsidRDefault="00DB7B17" w:rsidP="00DB7B17">
      <w:pPr>
        <w:autoSpaceDN w:val="0"/>
        <w:jc w:val="both"/>
        <w:rPr>
          <w:rFonts w:ascii="Times New Roman" w:eastAsia="SimSun" w:hAnsi="Times New Roman" w:cs="Times New Roman"/>
          <w:kern w:val="0"/>
          <w:sz w:val="20"/>
          <w:szCs w:val="20"/>
          <w:lang w:eastAsia="ru-RU" w:bidi="ar-SA"/>
        </w:rPr>
      </w:pPr>
      <w:r w:rsidRPr="004B3C43">
        <w:rPr>
          <w:rFonts w:ascii="Times New Roman" w:eastAsia="SimSun" w:hAnsi="Times New Roman" w:cs="Times New Roman"/>
          <w:kern w:val="0"/>
          <w:sz w:val="20"/>
          <w:szCs w:val="20"/>
          <w:lang w:eastAsia="ru-RU" w:bidi="ar-SA"/>
        </w:rPr>
        <w:t xml:space="preserve">Оценка заявок (предложений) по данному </w:t>
      </w:r>
      <w:proofErr w:type="spellStart"/>
      <w:r w:rsidRPr="004B3C43">
        <w:rPr>
          <w:rFonts w:ascii="Times New Roman" w:eastAsia="SimSun" w:hAnsi="Times New Roman" w:cs="Times New Roman"/>
          <w:kern w:val="0"/>
          <w:sz w:val="20"/>
          <w:szCs w:val="20"/>
          <w:lang w:eastAsia="ru-RU" w:bidi="ar-SA"/>
        </w:rPr>
        <w:t>нестоимостному</w:t>
      </w:r>
      <w:proofErr w:type="spellEnd"/>
      <w:r w:rsidRPr="004B3C43">
        <w:rPr>
          <w:rFonts w:ascii="Times New Roman" w:eastAsia="SimSun" w:hAnsi="Times New Roman" w:cs="Times New Roman"/>
          <w:kern w:val="0"/>
          <w:sz w:val="20"/>
          <w:szCs w:val="20"/>
          <w:lang w:eastAsia="ru-RU" w:bidi="ar-SA"/>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5.6 настоящего Порядка).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kern w:val="0"/>
          <w:sz w:val="20"/>
          <w:szCs w:val="20"/>
          <w:lang w:eastAsia="ru-RU" w:bidi="ar-SA"/>
        </w:rPr>
        <w:t>Заказчик выбирает вариант оценки, указанные в пунктах 5.5 или 5.6 настоящего Порядка, самостоятельно</w:t>
      </w:r>
      <w:r w:rsidRPr="004B3C43">
        <w:rPr>
          <w:rFonts w:ascii="Times New Roman" w:eastAsia="SimSun" w:hAnsi="Times New Roman" w:cs="Times New Roman"/>
          <w:color w:val="000000"/>
          <w:kern w:val="0"/>
          <w:sz w:val="20"/>
          <w:szCs w:val="20"/>
          <w:lang w:eastAsia="ru-RU" w:bidi="ar-SA"/>
        </w:rPr>
        <w:t>, включив его в документацию 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.4.  При выборе заказчиком расчетной формулы, указанной в пункте 5.5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.5.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w:t>
      </w:r>
      <w:r w:rsidR="00DB7B17" w:rsidRPr="004B3C43">
        <w:rPr>
          <w:rFonts w:ascii="Times New Roman" w:eastAsia="SimSun" w:hAnsi="Times New Roman" w:cs="Times New Roman"/>
          <w:b/>
          <w:i/>
          <w:color w:val="000000"/>
          <w:kern w:val="0"/>
          <w:sz w:val="20"/>
          <w:szCs w:val="20"/>
          <w:lang w:eastAsia="ru-RU" w:bidi="ar-SA"/>
        </w:rPr>
        <w:t>,</w:t>
      </w:r>
      <w:r w:rsidR="00DB7B17" w:rsidRPr="004B3C43">
        <w:rPr>
          <w:rFonts w:ascii="Times New Roman" w:eastAsia="SimSun" w:hAnsi="Times New Roman" w:cs="Times New Roman"/>
          <w:color w:val="000000"/>
          <w:kern w:val="0"/>
          <w:sz w:val="20"/>
          <w:szCs w:val="20"/>
          <w:lang w:eastAsia="ru-RU" w:bidi="ar-SA"/>
        </w:rPr>
        <w:t xml:space="preserve">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color w:val="000000"/>
          <w:kern w:val="0"/>
          <w:sz w:val="20"/>
          <w:szCs w:val="20"/>
          <w:lang w:eastAsia="ru-RU" w:bidi="ar-SA"/>
        </w:rPr>
        <w:t>НЦБi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305" w:type="dxa"/>
        <w:tblInd w:w="45"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НЦБi</w:t>
            </w:r>
            <w:proofErr w:type="spellEnd"/>
            <w:r w:rsidRPr="004B3C43">
              <w:rPr>
                <w:rFonts w:ascii="Times New Roman" w:eastAsia="SimSun" w:hAnsi="Times New Roman" w:cs="Times New Roman"/>
                <w:b/>
                <w:color w:val="000000"/>
                <w:sz w:val="20"/>
                <w:szCs w:val="20"/>
              </w:rPr>
              <w:t xml:space="preserve"> =</w:t>
            </w: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autoSpaceDN w:val="0"/>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х ПКБ,</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575" w:type="dxa"/>
            <w:tcBorders>
              <w:top w:val="single" w:sz="4" w:space="0" w:color="000000"/>
              <w:left w:val="nil"/>
              <w:bottom w:val="nil"/>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Kпред</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в части значения характеристик по критерию оценки,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Kпред</w:t>
      </w:r>
      <w:proofErr w:type="spellEnd"/>
      <w:r w:rsidRPr="004B3C43">
        <w:rPr>
          <w:rFonts w:ascii="Times New Roman" w:eastAsia="SimSun" w:hAnsi="Times New Roman" w:cs="Times New Roman"/>
          <w:color w:val="000000"/>
          <w:kern w:val="0"/>
          <w:sz w:val="20"/>
          <w:szCs w:val="20"/>
          <w:lang w:eastAsia="ru-RU" w:bidi="ar-SA"/>
        </w:rPr>
        <w:t xml:space="preserve"> – предельно необходимое заказчику значение характеристик по критерию оценки, указанное в документации по закупке;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r w:rsidRPr="004B3C43">
        <w:rPr>
          <w:rFonts w:ascii="Times New Roman" w:eastAsia="SimSun" w:hAnsi="Times New Roman" w:cs="Times New Roman"/>
          <w:bCs/>
          <w:color w:val="000000"/>
          <w:kern w:val="0"/>
          <w:sz w:val="20"/>
          <w:szCs w:val="20"/>
          <w:lang w:eastAsia="ru-RU" w:bidi="ar-SA"/>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.6. Рейтинг, присуждаемый заявке (предложению)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bCs/>
          <w:color w:val="000000"/>
          <w:kern w:val="0"/>
          <w:sz w:val="20"/>
          <w:szCs w:val="20"/>
          <w:lang w:eastAsia="ru-RU" w:bidi="ar-SA"/>
        </w:rPr>
        <w:t>Rdi</w:t>
      </w:r>
      <w:proofErr w:type="spellEnd"/>
      <w:r w:rsidR="00DB7B17" w:rsidRPr="004B3C43">
        <w:rPr>
          <w:rFonts w:ascii="Times New Roman" w:eastAsia="SimSun" w:hAnsi="Times New Roman" w:cs="Times New Roman"/>
          <w:bCs/>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p>
    <w:tbl>
      <w:tblPr>
        <w:tblW w:w="4305" w:type="dxa"/>
        <w:tblInd w:w="-10"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t>Rdi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widowControl w:val="0"/>
              <w:autoSpaceDN w:val="0"/>
              <w:jc w:val="both"/>
              <w:rPr>
                <w:rFonts w:ascii="Times New Roman" w:eastAsia="SimSun" w:hAnsi="Times New Roman" w:cs="Times New Roman"/>
                <w:bCs/>
                <w:color w:val="00000A"/>
                <w:kern w:val="3"/>
                <w:sz w:val="20"/>
                <w:szCs w:val="20"/>
              </w:rPr>
            </w:pPr>
            <w:proofErr w:type="spellStart"/>
            <w:r w:rsidRPr="004B3C43">
              <w:rPr>
                <w:rFonts w:ascii="Times New Roman" w:eastAsia="SimSun" w:hAnsi="Times New Roman" w:cs="Times New Roman"/>
                <w:bCs/>
                <w:color w:val="00000A"/>
                <w:kern w:val="3"/>
                <w:sz w:val="20"/>
                <w:szCs w:val="20"/>
              </w:rPr>
              <w:t>Ei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widowControl w:val="0"/>
              <w:suppressLineNumbers/>
              <w:autoSpaceDN w:val="0"/>
              <w:rPr>
                <w:rFonts w:ascii="Times New Roman" w:eastAsia="SimSun" w:hAnsi="Times New Roman" w:cs="Times New Roman"/>
                <w:color w:val="00000A"/>
                <w:kern w:val="3"/>
                <w:sz w:val="20"/>
                <w:szCs w:val="20"/>
              </w:rPr>
            </w:pPr>
            <w:r w:rsidRPr="004B3C43">
              <w:rPr>
                <w:rFonts w:ascii="Times New Roman" w:eastAsia="SimSun" w:hAnsi="Times New Roman" w:cs="Times New Roman"/>
                <w:bCs/>
                <w:color w:val="00000A"/>
                <w:kern w:val="3"/>
                <w:sz w:val="20"/>
                <w:szCs w:val="20"/>
              </w:rPr>
              <w:t xml:space="preserve">х </w:t>
            </w:r>
            <w:r w:rsidRPr="004B3C43">
              <w:rPr>
                <w:rFonts w:ascii="Times New Roman" w:eastAsia="SimSun" w:hAnsi="Times New Roman" w:cs="Times New Roman"/>
                <w:color w:val="000000"/>
                <w:kern w:val="3"/>
                <w:sz w:val="20"/>
                <w:szCs w:val="20"/>
              </w:rPr>
              <w:t>ПКБ</w:t>
            </w:r>
            <w:r w:rsidRPr="004B3C43">
              <w:rPr>
                <w:rFonts w:ascii="Times New Roman" w:eastAsia="SimSun" w:hAnsi="Times New Roman" w:cs="Times New Roman"/>
                <w:bCs/>
                <w:color w:val="00000A"/>
                <w:kern w:val="3"/>
                <w:sz w:val="20"/>
                <w:szCs w:val="20"/>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Cs/>
                <w:kern w:val="3"/>
                <w:sz w:val="20"/>
                <w:szCs w:val="20"/>
                <w:lang w:val="en-US"/>
              </w:rPr>
            </w:pPr>
            <w:proofErr w:type="spellStart"/>
            <w:r w:rsidRPr="004B3C43">
              <w:rPr>
                <w:rFonts w:ascii="Times New Roman" w:eastAsia="SimSun" w:hAnsi="Times New Roman" w:cs="Times New Roman"/>
                <w:bCs/>
                <w:kern w:val="3"/>
                <w:sz w:val="20"/>
                <w:szCs w:val="20"/>
                <w:lang w:val="en-US"/>
              </w:rPr>
              <w:t>Emax</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color w:val="00000A"/>
                <w:kern w:val="3"/>
                <w:sz w:val="20"/>
                <w:szCs w:val="20"/>
              </w:rPr>
            </w:pPr>
          </w:p>
        </w:tc>
      </w:tr>
    </w:tbl>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
    <w:p w:rsidR="00DB7B17" w:rsidRPr="004B3C43" w:rsidRDefault="00DB7B17" w:rsidP="00DB7B17">
      <w:pPr>
        <w:autoSpaceDN w:val="0"/>
        <w:jc w:val="both"/>
        <w:rPr>
          <w:rFonts w:ascii="Times New Roman" w:eastAsia="SimSun" w:hAnsi="Times New Roman" w:cs="Times New Roman"/>
          <w:kern w:val="3"/>
          <w:sz w:val="20"/>
          <w:szCs w:val="20"/>
          <w:lang w:eastAsia="ru-RU"/>
        </w:rPr>
      </w:pPr>
      <w:r w:rsidRPr="004B3C43">
        <w:rPr>
          <w:rFonts w:ascii="Times New Roman" w:eastAsia="SimSun" w:hAnsi="Times New Roman" w:cs="Times New Roman"/>
          <w:kern w:val="3"/>
          <w:sz w:val="20"/>
          <w:szCs w:val="20"/>
          <w:lang w:eastAsia="ru-RU"/>
        </w:rPr>
        <w:t>где:</w:t>
      </w:r>
    </w:p>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roofErr w:type="spellStart"/>
      <w:r w:rsidRPr="004B3C43">
        <w:rPr>
          <w:rFonts w:ascii="Times New Roman" w:eastAsia="SimSun" w:hAnsi="Times New Roman" w:cs="Times New Roman"/>
          <w:color w:val="00000A"/>
          <w:kern w:val="3"/>
          <w:sz w:val="20"/>
          <w:szCs w:val="20"/>
        </w:rPr>
        <w:t>Ei</w:t>
      </w:r>
      <w:proofErr w:type="spellEnd"/>
      <w:r w:rsidRPr="004B3C43">
        <w:rPr>
          <w:rFonts w:ascii="Times New Roman" w:eastAsia="SimSun" w:hAnsi="Times New Roman" w:cs="Times New Roman"/>
          <w:color w:val="00000A"/>
          <w:kern w:val="3"/>
          <w:sz w:val="20"/>
          <w:szCs w:val="20"/>
        </w:rPr>
        <w:t xml:space="preserve"> – значение (количество баллов) присужденное </w:t>
      </w:r>
      <w:proofErr w:type="gramStart"/>
      <w:r w:rsidRPr="004B3C43">
        <w:rPr>
          <w:rFonts w:ascii="Times New Roman" w:eastAsia="SimSun" w:hAnsi="Times New Roman" w:cs="Times New Roman"/>
          <w:color w:val="00000A"/>
          <w:kern w:val="3"/>
          <w:sz w:val="20"/>
          <w:szCs w:val="20"/>
        </w:rPr>
        <w:t xml:space="preserve">участнику </w:t>
      </w:r>
      <w:r w:rsidRPr="004B3C43">
        <w:rPr>
          <w:rFonts w:ascii="Times New Roman" w:eastAsia="SimSun" w:hAnsi="Times New Roman" w:cs="Times New Roman"/>
          <w:color w:val="FF0000"/>
          <w:kern w:val="3"/>
          <w:sz w:val="20"/>
          <w:szCs w:val="20"/>
        </w:rPr>
        <w:t xml:space="preserve"> </w:t>
      </w:r>
      <w:r w:rsidRPr="004B3C43">
        <w:rPr>
          <w:rFonts w:ascii="Times New Roman" w:eastAsia="SimSun" w:hAnsi="Times New Roman" w:cs="Times New Roman"/>
          <w:color w:val="00000A"/>
          <w:kern w:val="3"/>
          <w:sz w:val="20"/>
          <w:szCs w:val="20"/>
        </w:rPr>
        <w:t>по</w:t>
      </w:r>
      <w:proofErr w:type="gramEnd"/>
      <w:r w:rsidRPr="004B3C43">
        <w:rPr>
          <w:rFonts w:ascii="Times New Roman" w:eastAsia="SimSun" w:hAnsi="Times New Roman" w:cs="Times New Roman"/>
          <w:color w:val="00000A"/>
          <w:kern w:val="3"/>
          <w:sz w:val="20"/>
          <w:szCs w:val="20"/>
        </w:rPr>
        <w:t xml:space="preserve"> показателям критерия оценки «квалификация участника закупки»;</w:t>
      </w:r>
    </w:p>
    <w:p w:rsidR="00DB7B17" w:rsidRPr="004B3C43" w:rsidRDefault="00DB7B17" w:rsidP="00DB7B17">
      <w:pPr>
        <w:autoSpaceDN w:val="0"/>
        <w:jc w:val="both"/>
        <w:rPr>
          <w:rFonts w:ascii="Times New Roman" w:eastAsia="SimSun" w:hAnsi="Times New Roman" w:cs="Times New Roman"/>
          <w:kern w:val="3"/>
          <w:sz w:val="20"/>
          <w:szCs w:val="20"/>
          <w:lang w:eastAsia="ru-RU"/>
        </w:rPr>
      </w:pPr>
      <w:proofErr w:type="spellStart"/>
      <w:r w:rsidRPr="004B3C43">
        <w:rPr>
          <w:rFonts w:ascii="Times New Roman" w:eastAsia="SimSun" w:hAnsi="Times New Roman" w:cs="Times New Roman"/>
          <w:kern w:val="3"/>
          <w:sz w:val="20"/>
          <w:szCs w:val="20"/>
          <w:lang w:val="en-US" w:eastAsia="ru-RU"/>
        </w:rPr>
        <w:t>Emax</w:t>
      </w:r>
      <w:proofErr w:type="spellEnd"/>
      <w:r w:rsidRPr="004B3C43">
        <w:rPr>
          <w:rFonts w:ascii="Times New Roman" w:eastAsia="SimSun" w:hAnsi="Times New Roman" w:cs="Times New Roman"/>
          <w:kern w:val="3"/>
          <w:sz w:val="20"/>
          <w:szCs w:val="20"/>
          <w:lang w:eastAsia="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.7. Р</w:t>
      </w:r>
      <w:r w:rsidR="00DB7B17" w:rsidRPr="004B3C43">
        <w:rPr>
          <w:rFonts w:ascii="Times New Roman" w:eastAsia="SimSun" w:hAnsi="Times New Roman" w:cs="Times New Roman"/>
          <w:color w:val="000000"/>
          <w:kern w:val="0"/>
          <w:sz w:val="20"/>
          <w:szCs w:val="20"/>
          <w:lang w:eastAsia="ru-RU" w:bidi="ar-SA"/>
        </w:rPr>
        <w:t>ейтинг, присуждаемый заявке (предложению) по критерию оценки «срок предоставления гарантии качества товара, работ, услуг» (</w:t>
      </w:r>
      <w:proofErr w:type="spellStart"/>
      <w:r w:rsidR="00DB7B17" w:rsidRPr="004B3C43">
        <w:rPr>
          <w:rFonts w:ascii="Times New Roman" w:eastAsia="SimSun" w:hAnsi="Times New Roman" w:cs="Times New Roman"/>
          <w:color w:val="000000"/>
          <w:kern w:val="0"/>
          <w:sz w:val="20"/>
          <w:szCs w:val="20"/>
          <w:lang w:eastAsia="ru-RU" w:bidi="ar-SA"/>
        </w:rPr>
        <w:t>Rgi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755" w:type="dxa"/>
        <w:tblInd w:w="45" w:type="dxa"/>
        <w:tblLayout w:type="fixed"/>
        <w:tblCellMar>
          <w:left w:w="10" w:type="dxa"/>
          <w:right w:w="10" w:type="dxa"/>
        </w:tblCellMar>
        <w:tblLook w:val="04A0" w:firstRow="1" w:lastRow="0" w:firstColumn="1" w:lastColumn="0" w:noHBand="0" w:noVBand="1"/>
      </w:tblPr>
      <w:tblGrid>
        <w:gridCol w:w="1650"/>
        <w:gridCol w:w="1575"/>
        <w:gridCol w:w="153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t>Rgi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Bi</w:t>
            </w:r>
            <w:proofErr w:type="spellEnd"/>
          </w:p>
        </w:tc>
        <w:tc>
          <w:tcPr>
            <w:tcW w:w="153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kern w:val="3"/>
                <w:sz w:val="20"/>
                <w:szCs w:val="20"/>
                <w:lang w:val="en-US"/>
              </w:rPr>
            </w:pPr>
            <w:r w:rsidRPr="004B3C43">
              <w:rPr>
                <w:rFonts w:ascii="Times New Roman" w:eastAsia="Microsoft YaHei" w:hAnsi="Times New Roman" w:cs="Times New Roman"/>
                <w:bCs/>
                <w:kern w:val="3"/>
                <w:sz w:val="20"/>
                <w:szCs w:val="20"/>
                <w:lang w:val="en-US"/>
              </w:rPr>
              <w:t>х П</w:t>
            </w:r>
            <w:r w:rsidRPr="004B3C43">
              <w:rPr>
                <w:rFonts w:ascii="Times New Roman" w:eastAsia="Microsoft YaHei" w:hAnsi="Times New Roman" w:cs="Times New Roman"/>
                <w:bCs/>
                <w:kern w:val="3"/>
                <w:sz w:val="20"/>
                <w:szCs w:val="20"/>
              </w:rPr>
              <w:t>КБ</w:t>
            </w:r>
            <w:r w:rsidRPr="004B3C43">
              <w:rPr>
                <w:rFonts w:ascii="Times New Roman" w:eastAsia="Microsoft YaHei" w:hAnsi="Times New Roman" w:cs="Times New Roman"/>
                <w:kern w:val="3"/>
                <w:sz w:val="20"/>
                <w:szCs w:val="20"/>
                <w:lang w:val="en-US"/>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Bmax</w:t>
            </w:r>
            <w:proofErr w:type="spellEnd"/>
          </w:p>
        </w:tc>
        <w:tc>
          <w:tcPr>
            <w:tcW w:w="1530" w:type="dxa"/>
            <w:vMerge/>
            <w:vAlign w:val="center"/>
            <w:hideMark/>
          </w:tcPr>
          <w:p w:rsidR="00DB7B17" w:rsidRPr="004B3C43" w:rsidRDefault="00DB7B17" w:rsidP="005C5118">
            <w:pPr>
              <w:suppressAutoHyphens w:val="0"/>
              <w:rPr>
                <w:rFonts w:ascii="Times New Roman" w:eastAsia="Microsoft YaHei" w:hAnsi="Times New Roman" w:cs="Times New Roman"/>
                <w:kern w:val="3"/>
                <w:sz w:val="20"/>
                <w:szCs w:val="20"/>
                <w:lang w:val="en-US"/>
              </w:rPr>
            </w:pPr>
          </w:p>
        </w:tc>
      </w:tr>
    </w:tbl>
    <w:p w:rsidR="00DB7B17" w:rsidRPr="004B3C43" w:rsidRDefault="00DB7B17" w:rsidP="00DB7B17">
      <w:pPr>
        <w:autoSpaceDN w:val="0"/>
        <w:rPr>
          <w:rFonts w:ascii="Times New Roman" w:eastAsia="SimSun" w:hAnsi="Times New Roman" w:cs="Times New Roman"/>
          <w:b/>
          <w:bCs/>
          <w:color w:val="000000"/>
          <w:kern w:val="0"/>
          <w:sz w:val="20"/>
          <w:szCs w:val="20"/>
          <w:lang w:eastAsia="ru-RU" w:bidi="ar-SA"/>
        </w:rPr>
      </w:pPr>
    </w:p>
    <w:p w:rsidR="00DB7B17" w:rsidRPr="004B3C43" w:rsidRDefault="00DB7B17" w:rsidP="00DB7B17">
      <w:pPr>
        <w:autoSpaceDN w:val="0"/>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по количеству лет предоставления гарантии по заявке (предложению);</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Bmax</w:t>
      </w:r>
      <w:proofErr w:type="spellEnd"/>
      <w:r w:rsidRPr="004B3C43">
        <w:rPr>
          <w:rFonts w:ascii="Times New Roman" w:eastAsia="SimSun" w:hAnsi="Times New Roman" w:cs="Times New Roman"/>
          <w:color w:val="000000"/>
          <w:kern w:val="0"/>
          <w:sz w:val="20"/>
          <w:szCs w:val="20"/>
          <w:lang w:eastAsia="ru-RU" w:bidi="ar-SA"/>
        </w:rPr>
        <w:t xml:space="preserve"> – максимальное количество лет (месяцев) предоставления гарантии из всех предложений участников закупки;</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Договор заключается на условиях по данному критерию, указанных в заявке участника закупки.</w:t>
      </w:r>
    </w:p>
    <w:p w:rsidR="00222080" w:rsidRDefault="00222080" w:rsidP="00DB7B17">
      <w:pPr>
        <w:autoSpaceDN w:val="0"/>
        <w:jc w:val="both"/>
        <w:rPr>
          <w:rFonts w:ascii="Times New Roman" w:hAnsi="Times New Roman" w:cs="Times New Roman"/>
          <w:color w:val="000000"/>
          <w:kern w:val="3"/>
          <w:sz w:val="20"/>
          <w:szCs w:val="20"/>
        </w:rPr>
      </w:pP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Совокупная значимость выбранных критериев должна составлять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относящихся к одному критерию, должна быть равна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DB7B17" w:rsidRPr="004B3C43" w:rsidRDefault="00DB7B17" w:rsidP="00DB7B17">
      <w:pPr>
        <w:autoSpaceDN w:val="0"/>
        <w:spacing w:before="57" w:after="57"/>
        <w:ind w:firstLine="567"/>
        <w:jc w:val="both"/>
        <w:textAlignment w:val="baseline"/>
        <w:rPr>
          <w:rFonts w:ascii="Times New Roman" w:hAnsi="Times New Roman" w:cs="Times New Roman"/>
          <w:color w:val="000000"/>
          <w:kern w:val="3"/>
          <w:sz w:val="20"/>
          <w:szCs w:val="20"/>
        </w:rPr>
      </w:pPr>
    </w:p>
    <w:p w:rsidR="00DB7B17" w:rsidRPr="00DB7B17" w:rsidRDefault="00DB7B17" w:rsidP="00DB7B17">
      <w:pPr>
        <w:autoSpaceDN w:val="0"/>
        <w:jc w:val="center"/>
        <w:textAlignment w:val="baseline"/>
        <w:rPr>
          <w:rFonts w:ascii="Times New Roman" w:hAnsi="Times New Roman" w:cs="Times New Roman"/>
          <w:b/>
          <w:bCs/>
          <w:color w:val="000000"/>
          <w:kern w:val="3"/>
          <w:sz w:val="22"/>
          <w:szCs w:val="22"/>
        </w:rPr>
      </w:pPr>
    </w:p>
    <w:sectPr w:rsidR="00DB7B17" w:rsidRPr="00DB7B17" w:rsidSect="003D6163">
      <w:pgSz w:w="16838" w:h="11906" w:orient="landscape"/>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488"/>
    <w:multiLevelType w:val="hybridMultilevel"/>
    <w:tmpl w:val="9EF83FF8"/>
    <w:lvl w:ilvl="0" w:tplc="A6A69A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0A0DD4"/>
    <w:multiLevelType w:val="multilevel"/>
    <w:tmpl w:val="D87EFC3E"/>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76622F8"/>
    <w:multiLevelType w:val="hybridMultilevel"/>
    <w:tmpl w:val="D31A41C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F111B"/>
    <w:multiLevelType w:val="multilevel"/>
    <w:tmpl w:val="2F7E505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F272973"/>
    <w:multiLevelType w:val="hybridMultilevel"/>
    <w:tmpl w:val="B9629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385E28"/>
    <w:multiLevelType w:val="hybridMultilevel"/>
    <w:tmpl w:val="DCC03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86"/>
    <w:rsid w:val="00001B2C"/>
    <w:rsid w:val="00011DB6"/>
    <w:rsid w:val="00022E39"/>
    <w:rsid w:val="00047B60"/>
    <w:rsid w:val="00052F63"/>
    <w:rsid w:val="00073223"/>
    <w:rsid w:val="0007540C"/>
    <w:rsid w:val="00086DEF"/>
    <w:rsid w:val="00093F4F"/>
    <w:rsid w:val="00095885"/>
    <w:rsid w:val="00095F8A"/>
    <w:rsid w:val="000A343C"/>
    <w:rsid w:val="000A4498"/>
    <w:rsid w:val="000B0ED3"/>
    <w:rsid w:val="000B6863"/>
    <w:rsid w:val="000C3593"/>
    <w:rsid w:val="000C3EF5"/>
    <w:rsid w:val="000C7810"/>
    <w:rsid w:val="000C7BF3"/>
    <w:rsid w:val="000D3AE3"/>
    <w:rsid w:val="000D4BAE"/>
    <w:rsid w:val="000D66AC"/>
    <w:rsid w:val="000D79E0"/>
    <w:rsid w:val="000E10F3"/>
    <w:rsid w:val="000E3FBD"/>
    <w:rsid w:val="000F2DBC"/>
    <w:rsid w:val="000F336F"/>
    <w:rsid w:val="000F6E27"/>
    <w:rsid w:val="00100193"/>
    <w:rsid w:val="00101A1A"/>
    <w:rsid w:val="0011266F"/>
    <w:rsid w:val="00113FEF"/>
    <w:rsid w:val="001158A1"/>
    <w:rsid w:val="00125D21"/>
    <w:rsid w:val="00130840"/>
    <w:rsid w:val="00143414"/>
    <w:rsid w:val="00146190"/>
    <w:rsid w:val="00146913"/>
    <w:rsid w:val="0015749C"/>
    <w:rsid w:val="0016770A"/>
    <w:rsid w:val="00174440"/>
    <w:rsid w:val="00180D86"/>
    <w:rsid w:val="001813D3"/>
    <w:rsid w:val="001A40C4"/>
    <w:rsid w:val="001B0079"/>
    <w:rsid w:val="001C0FB4"/>
    <w:rsid w:val="001C23F8"/>
    <w:rsid w:val="001D68BD"/>
    <w:rsid w:val="001E0B78"/>
    <w:rsid w:val="001E56A4"/>
    <w:rsid w:val="0020127A"/>
    <w:rsid w:val="00212F9D"/>
    <w:rsid w:val="002150C5"/>
    <w:rsid w:val="00217309"/>
    <w:rsid w:val="0021780A"/>
    <w:rsid w:val="00222080"/>
    <w:rsid w:val="00223AA6"/>
    <w:rsid w:val="00227ED5"/>
    <w:rsid w:val="00231C00"/>
    <w:rsid w:val="00231D46"/>
    <w:rsid w:val="00234DA5"/>
    <w:rsid w:val="00240B35"/>
    <w:rsid w:val="00253614"/>
    <w:rsid w:val="00266542"/>
    <w:rsid w:val="0027172C"/>
    <w:rsid w:val="00275B33"/>
    <w:rsid w:val="00277937"/>
    <w:rsid w:val="00290E38"/>
    <w:rsid w:val="00293EC3"/>
    <w:rsid w:val="002A2561"/>
    <w:rsid w:val="002B2660"/>
    <w:rsid w:val="002B5D6D"/>
    <w:rsid w:val="002D3201"/>
    <w:rsid w:val="002D3E7D"/>
    <w:rsid w:val="002D55D1"/>
    <w:rsid w:val="002D7899"/>
    <w:rsid w:val="002E2C05"/>
    <w:rsid w:val="0030726F"/>
    <w:rsid w:val="00320512"/>
    <w:rsid w:val="003235DF"/>
    <w:rsid w:val="00331309"/>
    <w:rsid w:val="00333E95"/>
    <w:rsid w:val="00361C05"/>
    <w:rsid w:val="00393C90"/>
    <w:rsid w:val="003A3570"/>
    <w:rsid w:val="003A3BF2"/>
    <w:rsid w:val="003A4601"/>
    <w:rsid w:val="003B6C55"/>
    <w:rsid w:val="003B72DE"/>
    <w:rsid w:val="003C2210"/>
    <w:rsid w:val="003C734C"/>
    <w:rsid w:val="003D17A9"/>
    <w:rsid w:val="003D350C"/>
    <w:rsid w:val="003D6163"/>
    <w:rsid w:val="00402C9E"/>
    <w:rsid w:val="00404883"/>
    <w:rsid w:val="00406250"/>
    <w:rsid w:val="004175D3"/>
    <w:rsid w:val="00423969"/>
    <w:rsid w:val="00423D0A"/>
    <w:rsid w:val="00426D82"/>
    <w:rsid w:val="0043648B"/>
    <w:rsid w:val="00436529"/>
    <w:rsid w:val="0044031F"/>
    <w:rsid w:val="0047309A"/>
    <w:rsid w:val="00491893"/>
    <w:rsid w:val="004A38DF"/>
    <w:rsid w:val="004A40E9"/>
    <w:rsid w:val="004B37C7"/>
    <w:rsid w:val="004B4764"/>
    <w:rsid w:val="004C013D"/>
    <w:rsid w:val="004D61C2"/>
    <w:rsid w:val="004D6BD6"/>
    <w:rsid w:val="004E3565"/>
    <w:rsid w:val="004E3696"/>
    <w:rsid w:val="004E36E5"/>
    <w:rsid w:val="004E4743"/>
    <w:rsid w:val="004E4802"/>
    <w:rsid w:val="004F7D4F"/>
    <w:rsid w:val="004F7DAA"/>
    <w:rsid w:val="0050097D"/>
    <w:rsid w:val="00507F38"/>
    <w:rsid w:val="005347DC"/>
    <w:rsid w:val="00551808"/>
    <w:rsid w:val="0055417A"/>
    <w:rsid w:val="00560104"/>
    <w:rsid w:val="005619C1"/>
    <w:rsid w:val="00576850"/>
    <w:rsid w:val="005813E2"/>
    <w:rsid w:val="00586086"/>
    <w:rsid w:val="005955E8"/>
    <w:rsid w:val="005A47D0"/>
    <w:rsid w:val="005A4BE1"/>
    <w:rsid w:val="005B37BB"/>
    <w:rsid w:val="005D2C4A"/>
    <w:rsid w:val="005E4F42"/>
    <w:rsid w:val="005E5A16"/>
    <w:rsid w:val="005F304B"/>
    <w:rsid w:val="00601ADB"/>
    <w:rsid w:val="00602808"/>
    <w:rsid w:val="00603CE2"/>
    <w:rsid w:val="006113B1"/>
    <w:rsid w:val="006134ED"/>
    <w:rsid w:val="00627019"/>
    <w:rsid w:val="0062724A"/>
    <w:rsid w:val="00633F05"/>
    <w:rsid w:val="006358BA"/>
    <w:rsid w:val="00636825"/>
    <w:rsid w:val="0063798C"/>
    <w:rsid w:val="00641334"/>
    <w:rsid w:val="00644611"/>
    <w:rsid w:val="006579E0"/>
    <w:rsid w:val="00661CE1"/>
    <w:rsid w:val="006639F9"/>
    <w:rsid w:val="006739A3"/>
    <w:rsid w:val="00684C42"/>
    <w:rsid w:val="00685AEE"/>
    <w:rsid w:val="006900F8"/>
    <w:rsid w:val="00692A67"/>
    <w:rsid w:val="00692B02"/>
    <w:rsid w:val="00692FF0"/>
    <w:rsid w:val="006A78FA"/>
    <w:rsid w:val="006B11A3"/>
    <w:rsid w:val="006B2CFD"/>
    <w:rsid w:val="006B3F1B"/>
    <w:rsid w:val="006B568E"/>
    <w:rsid w:val="006B7BED"/>
    <w:rsid w:val="006C0FAB"/>
    <w:rsid w:val="006C7092"/>
    <w:rsid w:val="006D6376"/>
    <w:rsid w:val="006D7AC8"/>
    <w:rsid w:val="006E4E9A"/>
    <w:rsid w:val="006E6283"/>
    <w:rsid w:val="006F1EE0"/>
    <w:rsid w:val="006F3736"/>
    <w:rsid w:val="006F6702"/>
    <w:rsid w:val="007153A4"/>
    <w:rsid w:val="0072700F"/>
    <w:rsid w:val="00730757"/>
    <w:rsid w:val="0074116C"/>
    <w:rsid w:val="00756627"/>
    <w:rsid w:val="00760237"/>
    <w:rsid w:val="007715F4"/>
    <w:rsid w:val="007767D3"/>
    <w:rsid w:val="00777B12"/>
    <w:rsid w:val="00790166"/>
    <w:rsid w:val="007A02DB"/>
    <w:rsid w:val="007A3E2D"/>
    <w:rsid w:val="007A689D"/>
    <w:rsid w:val="007B0F02"/>
    <w:rsid w:val="007D0818"/>
    <w:rsid w:val="007D144D"/>
    <w:rsid w:val="007D333D"/>
    <w:rsid w:val="007E3BC9"/>
    <w:rsid w:val="007E6A03"/>
    <w:rsid w:val="007E7D5C"/>
    <w:rsid w:val="007F135D"/>
    <w:rsid w:val="007F1946"/>
    <w:rsid w:val="00800E33"/>
    <w:rsid w:val="00810600"/>
    <w:rsid w:val="00810B8D"/>
    <w:rsid w:val="00831212"/>
    <w:rsid w:val="00831485"/>
    <w:rsid w:val="00833F52"/>
    <w:rsid w:val="00836FDB"/>
    <w:rsid w:val="00837C12"/>
    <w:rsid w:val="008445EA"/>
    <w:rsid w:val="00845161"/>
    <w:rsid w:val="00857E60"/>
    <w:rsid w:val="0086342B"/>
    <w:rsid w:val="00863DD6"/>
    <w:rsid w:val="0087299F"/>
    <w:rsid w:val="0087586C"/>
    <w:rsid w:val="0088018F"/>
    <w:rsid w:val="00895674"/>
    <w:rsid w:val="00895F9C"/>
    <w:rsid w:val="008A02D9"/>
    <w:rsid w:val="008A1E49"/>
    <w:rsid w:val="008D5D49"/>
    <w:rsid w:val="008E00B7"/>
    <w:rsid w:val="008E17CE"/>
    <w:rsid w:val="008F3D75"/>
    <w:rsid w:val="008F5C37"/>
    <w:rsid w:val="009023E3"/>
    <w:rsid w:val="00902886"/>
    <w:rsid w:val="0091081A"/>
    <w:rsid w:val="00916DE3"/>
    <w:rsid w:val="00917110"/>
    <w:rsid w:val="00920419"/>
    <w:rsid w:val="00932A2D"/>
    <w:rsid w:val="00933C47"/>
    <w:rsid w:val="00944620"/>
    <w:rsid w:val="00945A15"/>
    <w:rsid w:val="0095012C"/>
    <w:rsid w:val="009530FB"/>
    <w:rsid w:val="00954056"/>
    <w:rsid w:val="009603CA"/>
    <w:rsid w:val="0096393B"/>
    <w:rsid w:val="009801BB"/>
    <w:rsid w:val="0098421D"/>
    <w:rsid w:val="00985C3E"/>
    <w:rsid w:val="009876A4"/>
    <w:rsid w:val="00990B82"/>
    <w:rsid w:val="00991A10"/>
    <w:rsid w:val="00997744"/>
    <w:rsid w:val="009A0B6E"/>
    <w:rsid w:val="009A2E3F"/>
    <w:rsid w:val="009B309D"/>
    <w:rsid w:val="009D1CEC"/>
    <w:rsid w:val="009D36C4"/>
    <w:rsid w:val="009E355F"/>
    <w:rsid w:val="009E6158"/>
    <w:rsid w:val="009F17D4"/>
    <w:rsid w:val="009F1C0F"/>
    <w:rsid w:val="009F20FB"/>
    <w:rsid w:val="00A15024"/>
    <w:rsid w:val="00A157A5"/>
    <w:rsid w:val="00A2324C"/>
    <w:rsid w:val="00A23497"/>
    <w:rsid w:val="00A33997"/>
    <w:rsid w:val="00A40F87"/>
    <w:rsid w:val="00A423D1"/>
    <w:rsid w:val="00A45CA4"/>
    <w:rsid w:val="00A46CD1"/>
    <w:rsid w:val="00A5599E"/>
    <w:rsid w:val="00A60724"/>
    <w:rsid w:val="00A623FF"/>
    <w:rsid w:val="00A62431"/>
    <w:rsid w:val="00A64BC0"/>
    <w:rsid w:val="00A74EAE"/>
    <w:rsid w:val="00A8041B"/>
    <w:rsid w:val="00A83BCD"/>
    <w:rsid w:val="00A92109"/>
    <w:rsid w:val="00AA18C4"/>
    <w:rsid w:val="00AA3BE0"/>
    <w:rsid w:val="00AB77D2"/>
    <w:rsid w:val="00AC5991"/>
    <w:rsid w:val="00AE3336"/>
    <w:rsid w:val="00AE37A5"/>
    <w:rsid w:val="00AE4E6F"/>
    <w:rsid w:val="00AE7D7E"/>
    <w:rsid w:val="00AF2939"/>
    <w:rsid w:val="00AF49B9"/>
    <w:rsid w:val="00B02F05"/>
    <w:rsid w:val="00B13666"/>
    <w:rsid w:val="00B16541"/>
    <w:rsid w:val="00B1772C"/>
    <w:rsid w:val="00B20C0E"/>
    <w:rsid w:val="00B2531A"/>
    <w:rsid w:val="00B40AF7"/>
    <w:rsid w:val="00B40B4C"/>
    <w:rsid w:val="00B47854"/>
    <w:rsid w:val="00B521E6"/>
    <w:rsid w:val="00B54EED"/>
    <w:rsid w:val="00B67F89"/>
    <w:rsid w:val="00B77C07"/>
    <w:rsid w:val="00B832C0"/>
    <w:rsid w:val="00B849F2"/>
    <w:rsid w:val="00B85BF8"/>
    <w:rsid w:val="00B868AC"/>
    <w:rsid w:val="00B90713"/>
    <w:rsid w:val="00B92A66"/>
    <w:rsid w:val="00B97CC8"/>
    <w:rsid w:val="00BA0271"/>
    <w:rsid w:val="00BB5924"/>
    <w:rsid w:val="00BB7F3D"/>
    <w:rsid w:val="00BC4180"/>
    <w:rsid w:val="00BC6B48"/>
    <w:rsid w:val="00BD1C4C"/>
    <w:rsid w:val="00BD1D29"/>
    <w:rsid w:val="00BE2087"/>
    <w:rsid w:val="00BF3E4A"/>
    <w:rsid w:val="00BF478A"/>
    <w:rsid w:val="00C01D1F"/>
    <w:rsid w:val="00C063D5"/>
    <w:rsid w:val="00C16323"/>
    <w:rsid w:val="00C208E5"/>
    <w:rsid w:val="00C3051E"/>
    <w:rsid w:val="00C34CF0"/>
    <w:rsid w:val="00C35D2B"/>
    <w:rsid w:val="00C43B3F"/>
    <w:rsid w:val="00C51DEC"/>
    <w:rsid w:val="00C52692"/>
    <w:rsid w:val="00C54C03"/>
    <w:rsid w:val="00C70741"/>
    <w:rsid w:val="00C7300E"/>
    <w:rsid w:val="00C73732"/>
    <w:rsid w:val="00C813E1"/>
    <w:rsid w:val="00C84C9C"/>
    <w:rsid w:val="00C90614"/>
    <w:rsid w:val="00C90AD4"/>
    <w:rsid w:val="00C912DA"/>
    <w:rsid w:val="00C91896"/>
    <w:rsid w:val="00C960C4"/>
    <w:rsid w:val="00CB4710"/>
    <w:rsid w:val="00CD0A16"/>
    <w:rsid w:val="00CD19ED"/>
    <w:rsid w:val="00CD41F0"/>
    <w:rsid w:val="00CD4374"/>
    <w:rsid w:val="00CE0B31"/>
    <w:rsid w:val="00CE11D1"/>
    <w:rsid w:val="00CE2633"/>
    <w:rsid w:val="00CF38F8"/>
    <w:rsid w:val="00CF61D6"/>
    <w:rsid w:val="00D12F0C"/>
    <w:rsid w:val="00D148F1"/>
    <w:rsid w:val="00D15201"/>
    <w:rsid w:val="00D165C3"/>
    <w:rsid w:val="00D175CD"/>
    <w:rsid w:val="00D367DD"/>
    <w:rsid w:val="00D43A27"/>
    <w:rsid w:val="00D504AD"/>
    <w:rsid w:val="00D551B3"/>
    <w:rsid w:val="00D61ABF"/>
    <w:rsid w:val="00D628E1"/>
    <w:rsid w:val="00D81007"/>
    <w:rsid w:val="00D919AD"/>
    <w:rsid w:val="00D92FB2"/>
    <w:rsid w:val="00DA2A5D"/>
    <w:rsid w:val="00DA3005"/>
    <w:rsid w:val="00DA497A"/>
    <w:rsid w:val="00DA55CF"/>
    <w:rsid w:val="00DA6B24"/>
    <w:rsid w:val="00DB098A"/>
    <w:rsid w:val="00DB4E7E"/>
    <w:rsid w:val="00DB7B17"/>
    <w:rsid w:val="00DC1AC8"/>
    <w:rsid w:val="00DC32C2"/>
    <w:rsid w:val="00DD0591"/>
    <w:rsid w:val="00DD6DC2"/>
    <w:rsid w:val="00DE2719"/>
    <w:rsid w:val="00DE5E08"/>
    <w:rsid w:val="00DF0AB8"/>
    <w:rsid w:val="00DF5A4F"/>
    <w:rsid w:val="00E0509D"/>
    <w:rsid w:val="00E42316"/>
    <w:rsid w:val="00E43542"/>
    <w:rsid w:val="00E455BA"/>
    <w:rsid w:val="00E51472"/>
    <w:rsid w:val="00E660C7"/>
    <w:rsid w:val="00E666F4"/>
    <w:rsid w:val="00E67235"/>
    <w:rsid w:val="00E71BF7"/>
    <w:rsid w:val="00E75A26"/>
    <w:rsid w:val="00E83423"/>
    <w:rsid w:val="00E85C1B"/>
    <w:rsid w:val="00EB72AA"/>
    <w:rsid w:val="00EC22F6"/>
    <w:rsid w:val="00EC32AF"/>
    <w:rsid w:val="00EC7762"/>
    <w:rsid w:val="00ED305E"/>
    <w:rsid w:val="00ED3D51"/>
    <w:rsid w:val="00EE0E64"/>
    <w:rsid w:val="00EE0F66"/>
    <w:rsid w:val="00EE27DD"/>
    <w:rsid w:val="00EE65EB"/>
    <w:rsid w:val="00EE6EA0"/>
    <w:rsid w:val="00EE7C27"/>
    <w:rsid w:val="00EF5D16"/>
    <w:rsid w:val="00EF7B87"/>
    <w:rsid w:val="00F0319C"/>
    <w:rsid w:val="00F03D50"/>
    <w:rsid w:val="00F25549"/>
    <w:rsid w:val="00F34F37"/>
    <w:rsid w:val="00F46FDF"/>
    <w:rsid w:val="00F50D42"/>
    <w:rsid w:val="00F516A6"/>
    <w:rsid w:val="00F551AD"/>
    <w:rsid w:val="00F5622A"/>
    <w:rsid w:val="00F61FE2"/>
    <w:rsid w:val="00F77D4A"/>
    <w:rsid w:val="00F81A68"/>
    <w:rsid w:val="00F82736"/>
    <w:rsid w:val="00F830F6"/>
    <w:rsid w:val="00F9735A"/>
    <w:rsid w:val="00FA04F1"/>
    <w:rsid w:val="00FA24BE"/>
    <w:rsid w:val="00FA4FC5"/>
    <w:rsid w:val="00FB226B"/>
    <w:rsid w:val="00FB4834"/>
    <w:rsid w:val="00FB6A7E"/>
    <w:rsid w:val="00FE2DAF"/>
    <w:rsid w:val="00FF2544"/>
    <w:rsid w:val="00FF3432"/>
    <w:rsid w:val="00FF4D53"/>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11B9-AF1F-46D0-B555-36EB165D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character" w:styleId="a9">
    <w:name w:val="Hyperlink"/>
    <w:basedOn w:val="a0"/>
    <w:uiPriority w:val="99"/>
    <w:semiHidden/>
    <w:unhideWhenUsed/>
    <w:rsid w:val="00AE37A5"/>
    <w:rPr>
      <w:color w:val="0563C1" w:themeColor="hyperlink"/>
      <w:u w:val="single"/>
    </w:rPr>
  </w:style>
  <w:style w:type="paragraph" w:styleId="aa">
    <w:name w:val="Balloon Text"/>
    <w:basedOn w:val="a"/>
    <w:link w:val="ab"/>
    <w:uiPriority w:val="99"/>
    <w:semiHidden/>
    <w:unhideWhenUsed/>
    <w:rsid w:val="00DA497A"/>
    <w:rPr>
      <w:rFonts w:ascii="Tahoma" w:hAnsi="Tahoma"/>
      <w:sz w:val="16"/>
      <w:szCs w:val="14"/>
    </w:rPr>
  </w:style>
  <w:style w:type="character" w:customStyle="1" w:styleId="ab">
    <w:name w:val="Текст выноски Знак"/>
    <w:basedOn w:val="a0"/>
    <w:link w:val="aa"/>
    <w:uiPriority w:val="99"/>
    <w:semiHidden/>
    <w:rsid w:val="00DA497A"/>
    <w:rPr>
      <w:rFonts w:ascii="Tahoma" w:hAnsi="Tahoma"/>
      <w:sz w:val="16"/>
      <w:szCs w:val="14"/>
    </w:rPr>
  </w:style>
  <w:style w:type="paragraph" w:styleId="ac">
    <w:name w:val="List Paragraph"/>
    <w:basedOn w:val="a"/>
    <w:uiPriority w:val="34"/>
    <w:qFormat/>
    <w:rsid w:val="00423969"/>
    <w:pPr>
      <w:ind w:left="720"/>
      <w:contextualSpacing/>
    </w:pPr>
    <w:rPr>
      <w:szCs w:val="21"/>
    </w:rPr>
  </w:style>
  <w:style w:type="table" w:styleId="ad">
    <w:name w:val="Table Grid"/>
    <w:basedOn w:val="a1"/>
    <w:uiPriority w:val="39"/>
    <w:rsid w:val="00D1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C51DE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rsid w:val="0021780A"/>
    <w:pPr>
      <w:autoSpaceDN w:val="0"/>
      <w:spacing w:after="160" w:line="249" w:lineRule="auto"/>
      <w:textAlignment w:val="baseline"/>
    </w:pPr>
    <w:rPr>
      <w:rFonts w:ascii="Times New Roman" w:eastAsia="SimSun" w:hAnsi="Times New Roman" w:cs="Calibri"/>
      <w:color w:val="000000"/>
      <w:kern w:val="0"/>
      <w:sz w:val="22"/>
      <w:szCs w:val="22"/>
      <w:lang w:eastAsia="ru-RU" w:bidi="ar-SA"/>
    </w:rPr>
  </w:style>
  <w:style w:type="paragraph" w:styleId="ae">
    <w:name w:val="Normal (Web)"/>
    <w:basedOn w:val="a"/>
    <w:uiPriority w:val="99"/>
    <w:unhideWhenUsed/>
    <w:rsid w:val="000D66AC"/>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8577">
      <w:bodyDiv w:val="1"/>
      <w:marLeft w:val="0"/>
      <w:marRight w:val="0"/>
      <w:marTop w:val="0"/>
      <w:marBottom w:val="0"/>
      <w:divBdr>
        <w:top w:val="none" w:sz="0" w:space="0" w:color="auto"/>
        <w:left w:val="none" w:sz="0" w:space="0" w:color="auto"/>
        <w:bottom w:val="none" w:sz="0" w:space="0" w:color="auto"/>
        <w:right w:val="none" w:sz="0" w:space="0" w:color="auto"/>
      </w:divBdr>
    </w:div>
    <w:div w:id="277370012">
      <w:bodyDiv w:val="1"/>
      <w:marLeft w:val="0"/>
      <w:marRight w:val="0"/>
      <w:marTop w:val="0"/>
      <w:marBottom w:val="0"/>
      <w:divBdr>
        <w:top w:val="none" w:sz="0" w:space="0" w:color="auto"/>
        <w:left w:val="none" w:sz="0" w:space="0" w:color="auto"/>
        <w:bottom w:val="none" w:sz="0" w:space="0" w:color="auto"/>
        <w:right w:val="none" w:sz="0" w:space="0" w:color="auto"/>
      </w:divBdr>
    </w:div>
    <w:div w:id="483278299">
      <w:bodyDiv w:val="1"/>
      <w:marLeft w:val="0"/>
      <w:marRight w:val="0"/>
      <w:marTop w:val="0"/>
      <w:marBottom w:val="0"/>
      <w:divBdr>
        <w:top w:val="none" w:sz="0" w:space="0" w:color="auto"/>
        <w:left w:val="none" w:sz="0" w:space="0" w:color="auto"/>
        <w:bottom w:val="none" w:sz="0" w:space="0" w:color="auto"/>
        <w:right w:val="none" w:sz="0" w:space="0" w:color="auto"/>
      </w:divBdr>
    </w:div>
    <w:div w:id="621420517">
      <w:bodyDiv w:val="1"/>
      <w:marLeft w:val="0"/>
      <w:marRight w:val="0"/>
      <w:marTop w:val="0"/>
      <w:marBottom w:val="0"/>
      <w:divBdr>
        <w:top w:val="none" w:sz="0" w:space="0" w:color="auto"/>
        <w:left w:val="none" w:sz="0" w:space="0" w:color="auto"/>
        <w:bottom w:val="none" w:sz="0" w:space="0" w:color="auto"/>
        <w:right w:val="none" w:sz="0" w:space="0" w:color="auto"/>
      </w:divBdr>
    </w:div>
    <w:div w:id="693265861">
      <w:bodyDiv w:val="1"/>
      <w:marLeft w:val="0"/>
      <w:marRight w:val="0"/>
      <w:marTop w:val="0"/>
      <w:marBottom w:val="0"/>
      <w:divBdr>
        <w:top w:val="none" w:sz="0" w:space="0" w:color="auto"/>
        <w:left w:val="none" w:sz="0" w:space="0" w:color="auto"/>
        <w:bottom w:val="none" w:sz="0" w:space="0" w:color="auto"/>
        <w:right w:val="none" w:sz="0" w:space="0" w:color="auto"/>
      </w:divBdr>
    </w:div>
    <w:div w:id="1245913623">
      <w:bodyDiv w:val="1"/>
      <w:marLeft w:val="0"/>
      <w:marRight w:val="0"/>
      <w:marTop w:val="0"/>
      <w:marBottom w:val="0"/>
      <w:divBdr>
        <w:top w:val="none" w:sz="0" w:space="0" w:color="auto"/>
        <w:left w:val="none" w:sz="0" w:space="0" w:color="auto"/>
        <w:bottom w:val="none" w:sz="0" w:space="0" w:color="auto"/>
        <w:right w:val="none" w:sz="0" w:space="0" w:color="auto"/>
      </w:divBdr>
    </w:div>
    <w:div w:id="13958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2C4C-40E6-482E-A02A-71201459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2897</Words>
  <Characters>16517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vt:lpstr>
    </vt:vector>
  </TitlesOfParts>
  <Company>КонсультантПлюс Версия 4021.00.31</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dc:title>
  <dc:subject/>
  <dc:creator>Черных Сергей Семенович</dc:creator>
  <dc:description/>
  <cp:lastModifiedBy>Чувакова Ирина Ярославовна</cp:lastModifiedBy>
  <cp:revision>10</cp:revision>
  <cp:lastPrinted>2025-03-06T06:19:00Z</cp:lastPrinted>
  <dcterms:created xsi:type="dcterms:W3CDTF">2025-03-05T08:23:00Z</dcterms:created>
  <dcterms:modified xsi:type="dcterms:W3CDTF">2025-03-06T06:37:00Z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