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52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203"/>
        <w:gridCol w:w="6300"/>
      </w:tblGrid>
      <w:tr>
        <w:tblPrEx/>
        <w:trPr>
          <w:trHeight w:val="11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03" w:type="dxa"/>
            <w:vAlign w:val="top"/>
            <w:textDirection w:val="lrTb"/>
            <w:noWrap w:val="false"/>
          </w:tcPr>
          <w:p>
            <w:pPr>
              <w:pStyle w:val="643"/>
              <w:pageBreakBefore/>
              <w:spacing w:before="7"/>
              <w:rPr>
                <w:sz w:val="5"/>
              </w:rPr>
            </w:pPr>
            <w:r>
              <w:rPr>
                <w:sz w:val="5"/>
              </w:rPr>
            </w:r>
            <w:r>
              <w:rPr>
                <w:sz w:val="5"/>
              </w:rPr>
            </w:r>
          </w:p>
          <w:p>
            <w:pPr>
              <w:pStyle w:val="643"/>
              <w:ind w:left="71"/>
              <w:rPr>
                <w:sz w:val="13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67419" cy="638156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67419" cy="6381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5.78pt;height:50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sz w:val="13"/>
              </w:rPr>
            </w:r>
            <w:r>
              <w:rPr>
                <w:sz w:val="13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643"/>
              <w:spacing w:before="7"/>
              <w:rPr>
                <w:sz w:val="13"/>
              </w:rPr>
            </w:pPr>
            <w:r>
              <w:rPr>
                <w:sz w:val="13"/>
              </w:rPr>
            </w:r>
            <w:r>
              <w:rPr>
                <w:sz w:val="13"/>
              </w:rPr>
            </w:r>
          </w:p>
          <w:p>
            <w:pPr>
              <w:pStyle w:val="643"/>
              <w:ind w:left="108"/>
              <w:rPr>
                <w:rStyle w:val="626"/>
                <w:rFonts w:ascii="Times New Roman" w:hAnsi="Times New Roman"/>
                <w:sz w:val="12"/>
                <w:szCs w:val="12"/>
              </w:rPr>
            </w:pP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Документ сформирован с использованием системы автоматизации закупок «МАРС» (+7 3452 57-45-00)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643"/>
              <w:ind w:left="108"/>
              <w:spacing w:before="1"/>
              <w:rPr>
                <w:rStyle w:val="626"/>
                <w:rFonts w:ascii="Times New Roman" w:hAnsi="Times New Roman"/>
                <w:sz w:val="12"/>
                <w:szCs w:val="12"/>
              </w:rPr>
            </w:pP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Правообладателем</w:t>
            </w:r>
            <w:r>
              <w:rPr>
                <w:rStyle w:val="626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документа</w:t>
            </w:r>
            <w:r>
              <w:rPr>
                <w:rStyle w:val="626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является</w:t>
            </w:r>
            <w:r>
              <w:rPr>
                <w:rStyle w:val="626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ООО</w:t>
            </w:r>
            <w:r>
              <w:rPr>
                <w:rStyle w:val="626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«ЦОП</w:t>
            </w:r>
            <w:r>
              <w:rPr>
                <w:rStyle w:val="626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«ЮРИС»</w:t>
            </w:r>
            <w:r>
              <w:rPr>
                <w:rStyle w:val="626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(+73452</w:t>
            </w:r>
            <w:r>
              <w:rPr>
                <w:rStyle w:val="626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215-100)</w:t>
            </w:r>
            <w:r>
              <w:rPr>
                <w:rStyle w:val="626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643"/>
              <w:ind w:left="108"/>
              <w:spacing w:before="1"/>
              <w:rPr>
                <w:rStyle w:val="626"/>
                <w:rFonts w:ascii="Times New Roman" w:hAnsi="Times New Roman"/>
                <w:sz w:val="12"/>
                <w:szCs w:val="12"/>
              </w:rPr>
            </w:pP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(ОГРН 1157232011892; ИНН 7203338119). Использование текста настоящего документа, равно как и его</w:t>
            </w:r>
            <w:r>
              <w:rPr>
                <w:rStyle w:val="626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643"/>
              <w:ind w:left="108"/>
              <w:spacing w:before="1"/>
              <w:rPr>
                <w:rStyle w:val="626"/>
                <w:rFonts w:ascii="Times New Roman" w:hAnsi="Times New Roman"/>
                <w:sz w:val="12"/>
                <w:szCs w:val="12"/>
              </w:rPr>
            </w:pP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графических составляющих, третьими лицами, включая копирование, распространение или модификацию,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643"/>
              <w:ind w:left="-644" w:firstLine="752"/>
              <w:spacing w:line="137" w:lineRule="exact"/>
              <w:rPr>
                <w:rStyle w:val="626"/>
                <w:rFonts w:ascii="Times New Roman" w:hAnsi="Times New Roman"/>
                <w:sz w:val="12"/>
                <w:szCs w:val="12"/>
              </w:rPr>
            </w:pP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без</w:t>
            </w:r>
            <w:r>
              <w:rPr>
                <w:rStyle w:val="626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согласия</w:t>
            </w:r>
            <w:r>
              <w:rPr>
                <w:rStyle w:val="626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правообладателя</w:t>
            </w:r>
            <w:r>
              <w:rPr>
                <w:rStyle w:val="626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не</w:t>
            </w:r>
            <w:r>
              <w:rPr>
                <w:rStyle w:val="626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допускается,</w:t>
            </w:r>
            <w:r>
              <w:rPr>
                <w:rStyle w:val="626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и</w:t>
            </w:r>
            <w:r>
              <w:rPr>
                <w:rStyle w:val="626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будет</w:t>
            </w:r>
            <w:r>
              <w:rPr>
                <w:rStyle w:val="626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рассматриваться</w:t>
            </w:r>
            <w:r>
              <w:rPr>
                <w:rStyle w:val="626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как</w:t>
            </w:r>
            <w:r>
              <w:rPr>
                <w:rStyle w:val="626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нарушение</w:t>
            </w:r>
            <w:r>
              <w:rPr>
                <w:rStyle w:val="626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его</w:t>
            </w:r>
            <w:r>
              <w:rPr>
                <w:rStyle w:val="626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исключительных прав</w:t>
            </w:r>
            <w:r>
              <w:rPr>
                <w:rStyle w:val="626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pacing w:val="-10"/>
                <w:sz w:val="12"/>
                <w:szCs w:val="12"/>
              </w:rPr>
              <w:t xml:space="preserve">в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643"/>
              <w:ind w:left="108"/>
              <w:spacing w:line="142" w:lineRule="exact"/>
            </w:pP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соответствии</w:t>
            </w:r>
            <w:r>
              <w:rPr>
                <w:rStyle w:val="626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с</w:t>
            </w:r>
            <w:r>
              <w:rPr>
                <w:rStyle w:val="626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законодательством.</w:t>
            </w:r>
            <w:r>
              <w:rPr>
                <w:rStyle w:val="626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При</w:t>
            </w:r>
            <w:r>
              <w:rPr>
                <w:rStyle w:val="626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ра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змещении</w:t>
            </w:r>
            <w:r>
              <w:rPr>
                <w:rStyle w:val="626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документа</w:t>
            </w:r>
            <w:r>
              <w:rPr>
                <w:rStyle w:val="626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в</w:t>
            </w:r>
            <w:r>
              <w:rPr>
                <w:rStyle w:val="626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общедоступных</w:t>
            </w:r>
            <w:r>
              <w:rPr>
                <w:rStyle w:val="626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источниках</w:t>
            </w:r>
            <w:r>
              <w:rPr>
                <w:rStyle w:val="626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ссылка</w:t>
            </w:r>
            <w:r>
              <w:rPr>
                <w:rStyle w:val="626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на</w:t>
            </w:r>
            <w:r>
              <w:rPr>
                <w:rStyle w:val="626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правообладателя</w:t>
            </w:r>
            <w:r>
              <w:rPr>
                <w:rStyle w:val="626"/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>
              <w:rPr>
                <w:rStyle w:val="626"/>
                <w:rFonts w:ascii="Times New Roman" w:hAnsi="Times New Roman"/>
                <w:sz w:val="12"/>
                <w:szCs w:val="12"/>
              </w:rPr>
              <w:t xml:space="preserve">обязательна.</w:t>
            </w:r>
            <w:r/>
          </w:p>
          <w:p>
            <w:pPr>
              <w:pStyle w:val="643"/>
              <w:ind w:left="108"/>
              <w:spacing w:line="142" w:lineRule="exact"/>
            </w:pPr>
            <w:r/>
            <w:r/>
          </w:p>
        </w:tc>
      </w:tr>
    </w:tbl>
    <w:p>
      <w:pPr>
        <w:pStyle w:val="616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page">
                  <wp:posOffset>-1269</wp:posOffset>
                </wp:positionH>
                <wp:positionV relativeFrom="paragraph">
                  <wp:posOffset>5080</wp:posOffset>
                </wp:positionV>
                <wp:extent cx="7566025" cy="47117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6025" cy="4711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0"/>
                            <a:gd name="gd5" fmla="val 21600"/>
                            <a:gd name="gd6" fmla="val 21600"/>
                            <a:gd name="gd7" fmla="val 0"/>
                            <a:gd name="gd8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D5B"/>
                        </a:solidFill>
                        <a:ln w="6479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ind w:left="794"/>
                              <w:spacing w:after="0" w:line="240" w:lineRule="auto"/>
                              <w:rPr>
                                <w:rFonts w:eastAsia="Calibri" w:cs="Calibri"/>
                                <w:b/>
                                <w:bCs/>
                                <w:color w:val="eeeeee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eeeeee"/>
                                <w:sz w:val="24"/>
                                <w:szCs w:val="20"/>
                              </w:rPr>
                              <w:t xml:space="preserve">Правовое сопровождение закупок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eeeeee"/>
                                <w:sz w:val="24"/>
                                <w:szCs w:val="20"/>
                              </w:rPr>
                            </w:r>
                          </w:p>
                          <w:p>
                            <w:pPr>
                              <w:pStyle w:val="616"/>
                              <w:ind w:left="794"/>
                              <w:spacing w:after="0" w:line="240" w:lineRule="auto"/>
                              <w:rPr>
                                <w:rFonts w:eastAsia="Calibri" w:cs="Calibri"/>
                                <w:color w:val="eeeee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Calibri"/>
                                <w:color w:val="eeeeee"/>
                                <w:sz w:val="20"/>
                                <w:szCs w:val="20"/>
                              </w:rPr>
                              <w:t xml:space="preserve">С гарантией юридической безопасности</w:t>
                            </w:r>
                            <w:r>
                              <w:rPr>
                                <w:rFonts w:eastAsia="Calibri" w:cs="Calibri"/>
                                <w:color w:val="eeeeee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616"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false;mso-position-horizontal-relative:page;margin-left:-0.10pt;mso-position-horizontal:absolute;mso-position-vertical-relative:text;margin-top:0.40pt;mso-position-vertical:absolute;width:595.75pt;height:37.10pt;mso-wrap-distance-left:9.00pt;mso-wrap-distance-top:0.00pt;mso-wrap-distance-right:9.00pt;mso-wrap-distance-bottom:0.00pt;visibility:visible;" path="m0,0l100000,0l100000,100000l0,100000xe" coordsize="100000,100000" fillcolor="#0F4D5B" strokecolor="#000000" strokeweight="0.51pt">
                <v:path textboxrect="0,0,0,0"/>
                <v:textbox inset="0,0,0,0">
                  <w:txbxContent>
                    <w:p>
                      <w:pPr>
                        <w:pStyle w:val="616"/>
                        <w:ind w:left="794"/>
                        <w:spacing w:after="0" w:line="240" w:lineRule="auto"/>
                        <w:rPr>
                          <w:rFonts w:eastAsia="Calibri" w:cs="Calibri"/>
                          <w:b/>
                          <w:bCs/>
                          <w:color w:val="eeeeee"/>
                          <w:sz w:val="24"/>
                          <w:szCs w:val="20"/>
                        </w:rPr>
                      </w:pPr>
                      <w:r>
                        <w:rPr>
                          <w:rFonts w:eastAsia="Calibri" w:cs="Calibri"/>
                          <w:b/>
                          <w:bCs/>
                          <w:color w:val="eeeeee"/>
                          <w:sz w:val="24"/>
                          <w:szCs w:val="20"/>
                        </w:rPr>
                        <w:t xml:space="preserve">Правовое сопровождение закупок</w:t>
                      </w:r>
                      <w:r>
                        <w:rPr>
                          <w:rFonts w:eastAsia="Calibri" w:cs="Calibri"/>
                          <w:b/>
                          <w:bCs/>
                          <w:color w:val="eeeeee"/>
                          <w:sz w:val="24"/>
                          <w:szCs w:val="20"/>
                        </w:rPr>
                      </w:r>
                    </w:p>
                    <w:p>
                      <w:pPr>
                        <w:pStyle w:val="616"/>
                        <w:ind w:left="794"/>
                        <w:spacing w:after="0" w:line="240" w:lineRule="auto"/>
                        <w:rPr>
                          <w:rFonts w:eastAsia="Calibri" w:cs="Calibri"/>
                          <w:color w:val="eeeeee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Calibri"/>
                          <w:color w:val="eeeeee"/>
                          <w:sz w:val="20"/>
                          <w:szCs w:val="20"/>
                        </w:rPr>
                        <w:t xml:space="preserve">С гарантией юридической безопасности</w:t>
                      </w:r>
                      <w:r>
                        <w:rPr>
                          <w:rFonts w:eastAsia="Calibri" w:cs="Calibri"/>
                          <w:color w:val="eeeeee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61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37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7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№ 1 к документации (критерии оценки заявок)</w:t>
      </w:r>
      <w:r>
        <w:rPr>
          <w:color w:val="000000"/>
          <w:sz w:val="20"/>
          <w:szCs w:val="20"/>
        </w:rPr>
      </w:r>
    </w:p>
    <w:p>
      <w:pPr>
        <w:pStyle w:val="63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7"/>
        <w:jc w:val="center"/>
        <w:rPr>
          <w:color w:val="000000"/>
        </w:rPr>
      </w:pPr>
      <w:r/>
      <w:bookmarkStart w:id="0" w:name="OLE_LINK11"/>
      <w:r/>
      <w:bookmarkStart w:id="1" w:name="OLE_LINK13"/>
      <w:r>
        <w:rPr>
          <w:b/>
          <w:color w:val="000000"/>
          <w:sz w:val="20"/>
          <w:szCs w:val="20"/>
        </w:rPr>
        <w:t xml:space="preserve">КРИТЕРИИ И ПОРЯДОК</w:t>
        <w:br w:type="textWrapping" w:clear="all"/>
        <w:t xml:space="preserve"> ОЦЕНКИ ЗАЯВОК НА УЧАСТИЕ В </w:t>
      </w:r>
      <w:bookmarkEnd w:id="0"/>
      <w:r/>
      <w:bookmarkEnd w:id="1"/>
      <w:r>
        <w:rPr>
          <w:b/>
          <w:color w:val="000000"/>
          <w:sz w:val="20"/>
          <w:szCs w:val="20"/>
        </w:rPr>
        <w:t xml:space="preserve">ЗАКУПКЕ</w:t>
      </w:r>
      <w:r>
        <w:rPr>
          <w:color w:val="000000"/>
        </w:rPr>
      </w:r>
      <w:r>
        <w:rPr>
          <w:color w:val="000000"/>
        </w:rPr>
      </w:r>
    </w:p>
    <w:p>
      <w:pPr>
        <w:pStyle w:val="616"/>
        <w:jc w:val="both"/>
        <w:spacing w:after="0"/>
      </w:pPr>
      <w:r/>
      <w:r/>
    </w:p>
    <w:tbl>
      <w:tblPr>
        <w:tblW w:w="0" w:type="auto"/>
        <w:tblInd w:w="-16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0"/>
        <w:gridCol w:w="7710"/>
        <w:gridCol w:w="2430"/>
      </w:tblGrid>
      <w:tr>
        <w:tblPrEx/>
        <w:trPr>
          <w:trHeight w:val="47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0" w:type="dxa"/>
            <w:vAlign w:val="top"/>
            <w:textDirection w:val="lrTb"/>
            <w:noWrap w:val="false"/>
          </w:tcPr>
          <w:p>
            <w:pPr>
              <w:pStyle w:val="616"/>
              <w:ind w:left="30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и сопоставление заявок на участие в закупке осуществляются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комиссией по закупкам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едложенных участниками закупки.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71"/>
        </w:trPr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Критерии оценки заявок</w:t>
            </w:r>
            <w:r/>
          </w:p>
        </w:tc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Значимость критерия в процентах</w:t>
            </w:r>
            <w:r/>
          </w:p>
        </w:tc>
      </w:tr>
      <w:tr>
        <w:tblPrEx/>
        <w:trPr>
          <w:trHeight w:val="337"/>
        </w:trPr>
        <w:tc>
          <w:tcPr>
            <w:gridSpan w:val="3"/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СТОИМОСТНЫЕ КРИТЕРИИ ОЦЕНКИ</w:t>
            </w:r>
            <w:r/>
          </w:p>
        </w:tc>
      </w:tr>
      <w:tr>
        <w:tblPrEx/>
        <w:trPr>
          <w:trHeight w:val="471"/>
        </w:trPr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top"/>
            <w:textDirection w:val="lrTb"/>
            <w:noWrap w:val="false"/>
          </w:tcPr>
          <w:p>
            <w:pPr>
              <w:pStyle w:val="616"/>
              <w:ind w:left="110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Цена договора</w:t>
            </w:r>
            <w:r/>
          </w:p>
        </w:tc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616"/>
              <w:ind w:right="3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40</w:t>
            </w:r>
            <w:r/>
          </w:p>
        </w:tc>
      </w:tr>
      <w:tr>
        <w:tblPrEx/>
        <w:trPr>
          <w:trHeight w:val="118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0" w:type="dxa"/>
            <w:vAlign w:val="top"/>
            <w:textDirection w:val="lrTb"/>
            <w:noWrap w:val="false"/>
          </w:tcPr>
          <w:p>
            <w:pPr>
              <w:pStyle w:val="616"/>
              <w:ind w:right="971"/>
              <w:jc w:val="both"/>
              <w:spacing w:after="0"/>
              <w:widowControl w:val="off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Рейтинг присуждаемый i-ой заявке по данному критерию, 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Rai)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определяется по формуле: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616"/>
              <w:ind w:right="971"/>
              <w:jc w:val="both"/>
              <w:spacing w:after="0"/>
              <w:widowControl w:val="off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616"/>
              <w:ind w:right="971"/>
              <w:jc w:val="center"/>
              <w:spacing w:after="0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Rai = (Аmin / Аi) х 100,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где: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616"/>
              <w:ind w:right="971"/>
              <w:jc w:val="both"/>
              <w:spacing w:after="0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616"/>
              <w:ind w:right="971"/>
              <w:jc w:val="both"/>
              <w:spacing w:after="0"/>
              <w:widowControl w:val="o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Аi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ценовое предложение участника закупки, заявка (предложение) которого оценивается;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616"/>
              <w:jc w:val="both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Аmin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минимальное ценовое предложение из всех ценовых предложений по критерию оценки, сделанных участниками закупки.</w:t>
            </w:r>
            <w:r/>
          </w:p>
        </w:tc>
      </w:tr>
      <w:tr>
        <w:tblPrEx/>
        <w:trPr>
          <w:trHeight w:val="273"/>
        </w:trPr>
        <w:tc>
          <w:tcPr>
            <w:gridSpan w:val="3"/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0" w:type="dxa"/>
            <w:vAlign w:val="top"/>
            <w:textDirection w:val="lrTb"/>
            <w:noWrap w:val="false"/>
          </w:tcPr>
          <w:p>
            <w:pPr>
              <w:pStyle w:val="616"/>
              <w:ind w:right="971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НЕСТОИМОСТНЫЕ КРИТЕРИИ ОЦЕНКИ</w:t>
            </w:r>
            <w:r/>
          </w:p>
        </w:tc>
      </w:tr>
      <w:tr>
        <w:tblPrEx/>
        <w:trPr>
          <w:trHeight w:val="425"/>
        </w:trPr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top"/>
            <w:textDirection w:val="lrTb"/>
            <w:noWrap w:val="false"/>
          </w:tcPr>
          <w:p>
            <w:pPr>
              <w:pStyle w:val="616"/>
              <w:ind w:right="38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vAlign w:val="top"/>
            <w:textDirection w:val="lrTb"/>
            <w:noWrap w:val="false"/>
          </w:tcPr>
          <w:p>
            <w:pPr>
              <w:pStyle w:val="616"/>
              <w:ind w:left="48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Квалифика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ция участников закупки:</w:t>
            </w:r>
            <w:r/>
          </w:p>
        </w:tc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616"/>
              <w:ind w:right="41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60</w:t>
            </w:r>
            <w:r/>
          </w:p>
        </w:tc>
      </w:tr>
      <w:tr>
        <w:tblPrEx/>
        <w:trPr>
          <w:trHeight w:val="425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0" w:type="dxa"/>
            <w:vAlign w:val="top"/>
            <w:textDirection w:val="lrTb"/>
            <w:noWrap w:val="false"/>
          </w:tcPr>
          <w:p>
            <w:pPr>
              <w:pStyle w:val="616"/>
              <w:ind w:left="45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Рейтинг присуждаемый i-ой заявке по данному критерию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Rgi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определяется по формуле:  </w:t>
            </w:r>
            <w:r/>
          </w:p>
          <w:p>
            <w:pPr>
              <w:pStyle w:val="616"/>
              <w:ind w:left="45"/>
              <w:spacing w:after="0" w:line="240" w:lineRule="auto"/>
              <w:widowControl w:val="off"/>
            </w:pPr>
            <w:r/>
            <w:r/>
          </w:p>
          <w:p>
            <w:pPr>
              <w:pStyle w:val="616"/>
              <w:ind w:left="45"/>
              <w:jc w:val="center"/>
              <w:spacing w:after="0"/>
              <w:widowControl w:val="off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Rgi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/100 +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/100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где: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616"/>
              <w:ind w:left="45" w:right="41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top"/>
            <w:textDirection w:val="lrTb"/>
            <w:noWrap w:val="false"/>
          </w:tcPr>
          <w:p>
            <w:pPr>
              <w:pStyle w:val="616"/>
              <w:ind w:right="38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2.1. </w:t>
            </w:r>
            <w:r/>
          </w:p>
        </w:tc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vAlign w:val="top"/>
            <w:textDirection w:val="lrTb"/>
            <w:noWrap w:val="false"/>
          </w:tcPr>
          <w:p>
            <w:pPr>
              <w:pStyle w:val="616"/>
              <w:ind w:left="45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Наличие опыта поставки товаров (выполнения работ, оказания услуг) по предмету договора (закупки)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1)</w:t>
            </w:r>
            <w:r/>
          </w:p>
        </w:tc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616"/>
              <w:ind w:right="41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40</w:t>
            </w:r>
            <w:r/>
          </w:p>
        </w:tc>
      </w:tr>
      <w:tr>
        <w:tblPrEx/>
        <w:trPr>
          <w:trHeight w:val="425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0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after="0"/>
              <w:widowControl w:val="off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  <w:t xml:space="preserve">Баллы по подкритерию </w:t>
            </w:r>
            <w:r>
              <w:rPr>
                <w:rFonts w:ascii="Times New Roman" w:hAnsi="Times New Roman" w:cs="Calibri"/>
                <w:b/>
                <w:bCs/>
                <w:iCs/>
                <w:sz w:val="20"/>
                <w:szCs w:val="20"/>
                <w:lang w:val="en-US" w:eastAsia="ar-SA"/>
              </w:rPr>
              <w:t xml:space="preserve">Rg</w:t>
            </w:r>
            <w:r>
              <w:rPr>
                <w:rFonts w:ascii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 xml:space="preserve">1</w:t>
            </w: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  <w:t xml:space="preserve"> определяются следующим образом:</w:t>
            </w:r>
            <w:r>
              <w:rPr>
                <w:rFonts w:ascii="Times New Roman" w:hAnsi="Times New Roman" w:cs="Calibri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hAnsi="Times New Roman" w:cs="Calibri"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 оценивает участников закупки по наличию, определенных условиями данного подкритерия, исполненных обязательств аналогичного характера.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Аналогичный договор (контракт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 — это договор (контракт) по 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 xml:space="preserve">предмету закупки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 исполнения обязательств по которому относится к п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ериоду: с 01.01.2024 до даты подачи заявки участником закупки с суммой исполненных обязательств по данному договору (контракту), составляющей не менее 100 (сто) процентов начальной (максимальной) цены договора на право заключить который проводится закупка.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Информацию по данному показателю участник закупки подтверждает путем представления в составе заявки копии </w:t>
            </w:r>
            <w:r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одного аналогичного договора (контракта)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и копии до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кументов, подтверждающих сумму исполненных обязательств по данному договору (контракту) в соответствии с требованиями данного подкритерия.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закупкам, при оценке соответствия/несоответствия договора (контракта) требованиям настоящего пункта, рассматривает предмет договора (контракта) и сумму исполненных обязательств по данному договору (контракту).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отсутствия в составе заявки участника копии аналогичного договора (контракта) и/или копии документов, подтверждающих исполнение данного дого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вора (контракта), сведения из заявки участника при оценке подкритерия в отношении данного участника считаются не подтвержденными и не учитываются при оценке. 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составе заявки для подтверждения подкритерия, оценка по критерию не осуществляется.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непредставления, либо частичного представления в составе заявки к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опии аналогичного договора (контракта) и копии документов, подтверждающих исполнение обязательств по данному договору (контракту) оценка участника по подкритерию не осуществляется, участнику присваивается </w:t>
            </w:r>
            <w:r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0 баллов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.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/>
              <w:widowControl w:val="off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  <w:t xml:space="preserve">Количество 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баллов, присваиваемых заявке (предложению) по показателю, 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определяется по формуле:</w:t>
            </w:r>
            <w:r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/>
              <w:widowControl w:val="off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  <w:lang w:val="en-US" w:eastAsia="ar-SA"/>
              </w:rPr>
              <w:t xml:space="preserve">Rg</w:t>
            </w:r>
            <w:r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1 = (Bi / </w:t>
            </w: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  <w:t xml:space="preserve">Bmax</w:t>
            </w:r>
            <w:r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) х 100, 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где: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/>
              <w:widowControl w:val="off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Bi -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предложение участника закупки в части значения характеристик по подкритерию оценки, заявка (предложение) которого оценивается;</w:t>
            </w:r>
            <w:r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r>
          </w:p>
          <w:p>
            <w:pPr>
              <w:pStyle w:val="616"/>
              <w:jc w:val="both"/>
              <w:spacing w:after="0"/>
              <w:widowControl w:val="off"/>
            </w:pPr>
            <w:r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Bmax -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предельно необходимое заказчик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у 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значение по подкритерию оценки – 1 (один)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налогичный договор (контракт)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.</w:t>
            </w:r>
            <w:r/>
          </w:p>
          <w:p>
            <w:pPr>
              <w:pStyle w:val="616"/>
              <w:ind w:right="41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2.2. </w:t>
            </w:r>
            <w:r/>
          </w:p>
        </w:tc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vAlign w:val="top"/>
            <w:textDirection w:val="lrTb"/>
            <w:noWrap w:val="false"/>
          </w:tcPr>
          <w:p>
            <w:pPr>
              <w:pStyle w:val="616"/>
              <w:ind w:left="3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Наличие финансовых ресурсов для исполнения договора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2):</w:t>
            </w:r>
            <w:r/>
          </w:p>
        </w:tc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616"/>
              <w:ind w:right="59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60</w:t>
            </w:r>
            <w:r/>
          </w:p>
        </w:tc>
      </w:tr>
      <w:tr>
        <w:tblPrEx/>
        <w:trPr>
          <w:trHeight w:val="78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0" w:type="dxa"/>
            <w:vAlign w:val="top"/>
            <w:textDirection w:val="lrTb"/>
            <w:noWrap w:val="false"/>
          </w:tcPr>
          <w:p>
            <w:pPr>
              <w:pStyle w:val="638"/>
              <w:spacing w:before="0" w:after="0"/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Баллы по подкритерию </w:t>
            </w:r>
            <w:r>
              <w:rPr>
                <w:rFonts w:cs="Calibri"/>
                <w:b/>
                <w:bCs/>
                <w:iCs/>
                <w:sz w:val="20"/>
                <w:szCs w:val="20"/>
                <w:lang w:val="en-US" w:eastAsia="ar-SA"/>
              </w:rPr>
              <w:t xml:space="preserve">Rg</w:t>
            </w:r>
            <w:r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 xml:space="preserve">определяются следующим образом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  <w:p>
            <w:pPr>
              <w:pStyle w:val="638"/>
              <w:jc w:val="both"/>
              <w:spacing w:before="0" w:after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1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Комиссия оценивает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участников закупки по размеру чистой прибыли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(убытка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последний отчетный финансовый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(далее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финансовый год) которая определяется: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616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по стр.2400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формы № 2 «отчет о финансовых результатах» обязательной бухгалтерской отчётности за последний отчетный финансовый год, с отметкой налогового органа о приеме;</w:t>
              <w:br w:type="textWrapping" w:clear="all"/>
              <w:t xml:space="preserve">или</w:t>
              <w:br w:type="textWrapping" w:clear="all"/>
              <w:t xml:space="preserve">- по стр.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213 – стр. 223 = стр. 243 – стр. 273 =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истая прибыль/убыток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раздел 2.2 декларации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доходы-расходы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налоговой декларации за последний отчетный финансовый год по налогу, уплачиваемому в связи с применением упрощенной системы налогообложения, с отметкой налогового органа о приеме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38"/>
              <w:jc w:val="both"/>
              <w:spacing w:before="0" w:after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подтверждения участник закупки представляет копию бухгалтерской отчетности вместе с отчетом о финансовых результатах за финансовый год или копи</w:t>
            </w:r>
            <w:r>
              <w:rPr>
                <w:sz w:val="20"/>
                <w:szCs w:val="20"/>
              </w:rPr>
              <w:t xml:space="preserve">ю</w:t>
            </w:r>
            <w:r>
              <w:rPr>
                <w:sz w:val="20"/>
                <w:szCs w:val="20"/>
              </w:rPr>
              <w:t xml:space="preserve"> налогов</w:t>
            </w:r>
            <w:r>
              <w:rPr>
                <w:sz w:val="20"/>
                <w:szCs w:val="20"/>
              </w:rPr>
              <w:t xml:space="preserve">ой</w:t>
            </w:r>
            <w:r>
              <w:rPr>
                <w:sz w:val="20"/>
                <w:szCs w:val="20"/>
              </w:rPr>
              <w:t xml:space="preserve"> деклараци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за финансовый </w:t>
            </w:r>
            <w:r>
              <w:rPr>
                <w:sz w:val="20"/>
                <w:szCs w:val="20"/>
              </w:rPr>
              <w:t xml:space="preserve">год по налогу, уплачиваемому в связи с применением упрощенной системы налогообложения, с отметкой налогового органа о приеме в случае, если участник применяет упрощенную систему налогообложения, заверенные печатью и подписью уполномоченного лица участника.</w:t>
            </w:r>
            <w:r>
              <w:rPr>
                <w:sz w:val="20"/>
                <w:szCs w:val="20"/>
              </w:rPr>
            </w:r>
          </w:p>
          <w:p>
            <w:pPr>
              <w:pStyle w:val="638"/>
              <w:jc w:val="both"/>
              <w:spacing w:before="0" w:after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38"/>
              <w:jc w:val="both"/>
              <w:spacing w:before="0" w:after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непредставления, либо частичного представления в составе з</w:t>
            </w:r>
            <w:r>
              <w:rPr>
                <w:sz w:val="20"/>
                <w:szCs w:val="20"/>
              </w:rPr>
              <w:t xml:space="preserve">аявки участника копии документов, подтверждающих размер </w:t>
            </w:r>
            <w:r>
              <w:rPr>
                <w:sz w:val="20"/>
                <w:szCs w:val="20"/>
              </w:rPr>
              <w:t xml:space="preserve">чистой прибыли (убытка) </w:t>
            </w:r>
            <w:r>
              <w:rPr>
                <w:sz w:val="20"/>
                <w:szCs w:val="20"/>
              </w:rPr>
              <w:t xml:space="preserve">оценка участника по данному подкритерию не производится, участнику присваивается 0 баллов.</w:t>
            </w:r>
            <w:r>
              <w:rPr>
                <w:sz w:val="20"/>
                <w:szCs w:val="20"/>
              </w:rPr>
            </w:r>
          </w:p>
          <w:p>
            <w:pPr>
              <w:pStyle w:val="638"/>
              <w:jc w:val="both"/>
              <w:spacing w:before="0" w:after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16"/>
              <w:jc w:val="both"/>
              <w:spacing w:after="0"/>
              <w:shd w:val="clear" w:color="auto" w:fill="ffffff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Остальным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заявкам баллы от 1 до 100 присваиваются в зависимости от сведений, представленных в заявках.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  <w:p>
            <w:pPr>
              <w:pStyle w:val="616"/>
              <w:ind w:firstLine="325"/>
              <w:jc w:val="both"/>
              <w:spacing w:after="0"/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616"/>
              <w:ind w:firstLine="27"/>
              <w:jc w:val="both"/>
              <w:spacing w:after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баллов, присваиваемых заявке (предложению) по показателю, определяется по формуле: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16"/>
              <w:ind w:firstLine="27"/>
              <w:jc w:val="both"/>
              <w:spacing w:after="0"/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     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616"/>
              <w:ind w:firstLine="27"/>
              <w:jc w:val="both"/>
              <w:spacing w:after="0"/>
              <w:shd w:val="clear" w:color="auto" w:fill="ffffff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= (Bi 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Bmax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) х 100,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где:</w:t>
            </w: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616"/>
              <w:ind w:firstLine="27"/>
              <w:jc w:val="both"/>
              <w:spacing w:after="0"/>
              <w:shd w:val="clear" w:color="auto" w:fill="ffffff"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616"/>
              <w:ind w:firstLine="27"/>
              <w:jc w:val="both"/>
              <w:spacing w:after="0"/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предложение участника закупки в части значения характеристик по подкритерию оценки, заявка (предл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ожение) которого оценивается.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616"/>
              <w:ind w:firstLine="27"/>
              <w:jc w:val="both"/>
              <w:spacing w:after="0"/>
              <w:shd w:val="clear" w:color="auto" w:fill="ffffff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Bmax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максимальное значение по подкритерию из всех представленных в заявках участников предложений о размере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чистой прибыли (убытка)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финансовый год.</w:t>
            </w:r>
            <w:r/>
          </w:p>
        </w:tc>
      </w:tr>
      <w:tr>
        <w:tblPrEx/>
        <w:trPr>
          <w:trHeight w:val="355"/>
        </w:trPr>
        <w:tc>
          <w:tcPr>
            <w:gridSpan w:val="2"/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0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Совокупная значимость критериев</w:t>
            </w:r>
            <w:r/>
          </w:p>
        </w:tc>
        <w:tc>
          <w:tcPr>
            <w:shd w:val="clear" w:color="auto" w:fill="e3f1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100</w:t>
            </w:r>
            <w:r/>
          </w:p>
        </w:tc>
      </w:tr>
      <w:tr>
        <w:tblPrEx/>
        <w:trPr>
          <w:trHeight w:val="181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0" w:type="dxa"/>
            <w:vAlign w:val="top"/>
            <w:textDirection w:val="lrTb"/>
            <w:noWrap w:val="false"/>
          </w:tcPr>
          <w:p>
            <w:pPr>
              <w:pStyle w:val="616"/>
              <w:ind w:firstLine="4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оценки заявки осуществляется расчет итогового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документации, умноженных на коэффициент значимости равный значению данного критерия, в процентах деленному на 100.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3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Ri = Rai *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/100 +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Rgi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рейтинг, присваивается первый номер. Последующие номера присваиваются заявкам по мере уменьшения их итогового рейтинга.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16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Победителем заку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  <w:r/>
          </w:p>
        </w:tc>
      </w:tr>
    </w:tbl>
    <w:sectPr>
      <w:footnotePr/>
      <w:endnotePr/>
      <w:type w:val="nextPage"/>
      <w:pgSz w:w="11906" w:h="16838" w:orient="portrait"/>
      <w:pgMar w:top="709" w:right="567" w:bottom="493" w:left="85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Mangal">
    <w:panose1 w:val="02040503050406030204"/>
  </w:font>
  <w:font w:name="Tahoma">
    <w:panose1 w:val="020B0604030504040204"/>
  </w:font>
  <w:font w:name="Lucida Sans">
    <w:panose1 w:val="020B06030308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Liberation Mono">
    <w:panose1 w:val="02070409020205020404"/>
  </w:font>
  <w:font w:name="Calibri">
    <w:panose1 w:val="020F0502020204030204"/>
  </w:font>
  <w:font w:name="NSimSun">
    <w:panose1 w:val="02020603020101020101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6"/>
    <w:next w:val="61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rFonts w:ascii="Calibri" w:hAnsi="Calibri"/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620" w:default="1">
    <w:name w:val="Default Paragraph Font"/>
    <w:next w:val="620"/>
    <w:link w:val="616"/>
  </w:style>
  <w:style w:type="character" w:styleId="621">
    <w:name w:val="Основной текст (16)"/>
    <w:next w:val="621"/>
    <w:link w:val="616"/>
    <w:rPr>
      <w:rFonts w:ascii="Times New Roman" w:hAnsi="Times New Roman"/>
      <w:spacing w:val="0"/>
      <w:sz w:val="19"/>
      <w:u w:val="single"/>
    </w:rPr>
  </w:style>
  <w:style w:type="character" w:styleId="622">
    <w:name w:val="Текст примечания Знак"/>
    <w:next w:val="622"/>
    <w:link w:val="616"/>
    <w:rPr>
      <w:rFonts w:ascii="Calibri" w:hAnsi="Calibri" w:eastAsia="Times New Roman" w:cs="Times New Roman"/>
      <w:sz w:val="20"/>
      <w:szCs w:val="20"/>
      <w:lang w:eastAsia="ru-RU"/>
    </w:rPr>
  </w:style>
  <w:style w:type="character" w:styleId="623">
    <w:name w:val="annotation reference"/>
    <w:next w:val="623"/>
    <w:link w:val="616"/>
    <w:rPr>
      <w:sz w:val="16"/>
      <w:szCs w:val="16"/>
    </w:rPr>
  </w:style>
  <w:style w:type="character" w:styleId="624">
    <w:name w:val="Тема примечания Знак"/>
    <w:next w:val="624"/>
    <w:link w:val="616"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character" w:styleId="625">
    <w:name w:val="Гиперссылка"/>
    <w:next w:val="625"/>
    <w:link w:val="616"/>
    <w:rPr>
      <w:color w:val="0000ff"/>
      <w:u w:val="single"/>
    </w:rPr>
  </w:style>
  <w:style w:type="character" w:styleId="626">
    <w:name w:val="Основной шрифт абзаца1"/>
    <w:next w:val="626"/>
    <w:link w:val="616"/>
  </w:style>
  <w:style w:type="character" w:styleId="627">
    <w:name w:val="Default Paragraph Font (WW)"/>
    <w:next w:val="627"/>
    <w:link w:val="616"/>
  </w:style>
  <w:style w:type="character" w:styleId="628">
    <w:name w:val="Footnote Characters"/>
    <w:next w:val="628"/>
    <w:link w:val="616"/>
  </w:style>
  <w:style w:type="character" w:styleId="629">
    <w:name w:val="Endnote Characters"/>
    <w:next w:val="629"/>
    <w:link w:val="616"/>
  </w:style>
  <w:style w:type="character" w:styleId="630">
    <w:name w:val="Просмотренная гиперссылка"/>
    <w:next w:val="630"/>
    <w:link w:val="616"/>
    <w:rPr>
      <w:color w:val="800000"/>
      <w:u w:val="single"/>
    </w:rPr>
  </w:style>
  <w:style w:type="paragraph" w:styleId="631">
    <w:name w:val="Heading"/>
    <w:basedOn w:val="616"/>
    <w:next w:val="632"/>
    <w:link w:val="616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32">
    <w:name w:val="Основной текст"/>
    <w:basedOn w:val="616"/>
    <w:next w:val="632"/>
    <w:link w:val="616"/>
    <w:pPr>
      <w:spacing w:before="0" w:after="140" w:line="276" w:lineRule="auto"/>
    </w:pPr>
  </w:style>
  <w:style w:type="paragraph" w:styleId="633">
    <w:name w:val="Список"/>
    <w:basedOn w:val="632"/>
    <w:next w:val="633"/>
    <w:link w:val="616"/>
    <w:rPr>
      <w:rFonts w:cs="Lucida Sans"/>
    </w:rPr>
  </w:style>
  <w:style w:type="paragraph" w:styleId="634">
    <w:name w:val="Название объекта"/>
    <w:basedOn w:val="616"/>
    <w:next w:val="634"/>
    <w:link w:val="616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35">
    <w:name w:val="Index"/>
    <w:basedOn w:val="616"/>
    <w:next w:val="635"/>
    <w:link w:val="616"/>
    <w:pPr>
      <w:suppressLineNumbers/>
    </w:pPr>
    <w:rPr>
      <w:rFonts w:cs="Lucida Sans"/>
    </w:rPr>
  </w:style>
  <w:style w:type="paragraph" w:styleId="636">
    <w:name w:val="No Spacing"/>
    <w:next w:val="636"/>
    <w:link w:val="616"/>
    <w:rPr>
      <w:rFonts w:ascii="Calibri" w:hAnsi="Calibri" w:eastAsia="Calibri"/>
      <w:sz w:val="22"/>
      <w:szCs w:val="22"/>
      <w:lang w:val="ru-RU" w:eastAsia="en-US" w:bidi="ar-SA"/>
    </w:rPr>
  </w:style>
  <w:style w:type="paragraph" w:styleId="637">
    <w:name w:val="Default"/>
    <w:next w:val="637"/>
    <w:link w:val="616"/>
    <w:rPr>
      <w:color w:val="000000"/>
      <w:sz w:val="24"/>
      <w:szCs w:val="24"/>
      <w:lang w:val="ru-RU" w:eastAsia="ru-RU" w:bidi="ar-SA"/>
    </w:rPr>
  </w:style>
  <w:style w:type="paragraph" w:styleId="638">
    <w:name w:val="228bf8a64b8551e1msonormal"/>
    <w:basedOn w:val="616"/>
    <w:next w:val="638"/>
    <w:link w:val="616"/>
    <w:pPr>
      <w:spacing w:before="280" w:after="28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39">
    <w:name w:val="annotation text"/>
    <w:basedOn w:val="616"/>
    <w:next w:val="639"/>
    <w:link w:val="616"/>
    <w:pPr>
      <w:spacing w:line="240" w:lineRule="auto"/>
    </w:pPr>
    <w:rPr>
      <w:sz w:val="20"/>
      <w:szCs w:val="20"/>
      <w:lang w:eastAsia="ru-RU"/>
    </w:rPr>
  </w:style>
  <w:style w:type="paragraph" w:styleId="640">
    <w:name w:val="annotation subject"/>
    <w:basedOn w:val="639"/>
    <w:next w:val="639"/>
    <w:link w:val="616"/>
    <w:rPr>
      <w:b/>
      <w:bCs/>
      <w:lang w:eastAsia="en-US"/>
    </w:rPr>
  </w:style>
  <w:style w:type="paragraph" w:styleId="641">
    <w:name w:val="Table Contents"/>
    <w:basedOn w:val="616"/>
    <w:next w:val="641"/>
    <w:link w:val="616"/>
    <w:pPr>
      <w:widowControl w:val="off"/>
      <w:suppressLineNumbers/>
    </w:pPr>
  </w:style>
  <w:style w:type="paragraph" w:styleId="642">
    <w:name w:val="Обычный1"/>
    <w:next w:val="642"/>
    <w:link w:val="616"/>
    <w:pPr>
      <w:spacing w:after="200" w:line="276" w:lineRule="auto"/>
      <w:widowControl w:val="off"/>
    </w:pPr>
    <w:rPr>
      <w:rFonts w:ascii="Calibri" w:hAnsi="Calibri" w:eastAsia="Calibri" w:cs="Tahoma"/>
      <w:sz w:val="22"/>
      <w:szCs w:val="22"/>
      <w:lang w:val="ru-RU" w:eastAsia="en-US" w:bidi="ar-SA"/>
    </w:rPr>
  </w:style>
  <w:style w:type="paragraph" w:styleId="643">
    <w:name w:val="Table Paragraph"/>
    <w:basedOn w:val="642"/>
    <w:next w:val="643"/>
    <w:link w:val="616"/>
    <w:pPr>
      <w:spacing w:before="0"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Arial" w:hAnsi="Arial" w:eastAsia="SimSun" w:cs="Mangal"/>
      <w:sz w:val="24"/>
      <w:szCs w:val="24"/>
      <w:lang w:eastAsia="zh-CN" w:bidi="hi-IN"/>
    </w:rPr>
  </w:style>
  <w:style w:type="paragraph" w:styleId="644">
    <w:name w:val="Normal Table (WW)"/>
    <w:next w:val="644"/>
    <w:link w:val="616"/>
    <w:pPr>
      <w:spacing w:after="160" w:line="25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645">
    <w:name w:val="List Contents"/>
    <w:basedOn w:val="616"/>
    <w:next w:val="645"/>
    <w:link w:val="616"/>
    <w:pPr>
      <w:ind w:left="567" w:right="0" w:firstLine="0"/>
    </w:pPr>
  </w:style>
  <w:style w:type="paragraph" w:styleId="646" w:default="1">
    <w:name w:val="Normal Table"/>
    <w:next w:val="646"/>
    <w:link w:val="616"/>
    <w:pPr>
      <w:spacing w:after="160" w:line="25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647">
    <w:name w:val="Preformatted Text"/>
    <w:basedOn w:val="616"/>
    <w:next w:val="647"/>
    <w:link w:val="616"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14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Мария Бабушкина</cp:lastModifiedBy>
  <cp:revision>5</cp:revision>
  <dcterms:created xsi:type="dcterms:W3CDTF">2025-04-30T06:42:00Z</dcterms:created>
  <dcterms:modified xsi:type="dcterms:W3CDTF">2025-05-16T09:38:45Z</dcterms:modified>
  <cp:version>1048576</cp:version>
</cp:coreProperties>
</file>