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DBE9" w14:textId="77777777" w:rsidR="00B12CDD" w:rsidRPr="001A5275" w:rsidRDefault="00B12CDD" w:rsidP="00B12CDD">
      <w:pPr>
        <w:ind w:firstLine="0"/>
        <w:jc w:val="center"/>
        <w:rPr>
          <w:rFonts w:eastAsia="Calibri"/>
          <w:b/>
          <w:bCs/>
          <w:sz w:val="22"/>
          <w:lang w:eastAsia="en-US"/>
        </w:rPr>
      </w:pPr>
      <w:r w:rsidRPr="001A5275">
        <w:rPr>
          <w:rFonts w:eastAsia="Calibri"/>
          <w:b/>
          <w:bCs/>
          <w:sz w:val="22"/>
          <w:lang w:eastAsia="en-US"/>
        </w:rPr>
        <w:t>ТЕХНИЧЕСКОЕ ЗАДАНИЕ</w:t>
      </w:r>
    </w:p>
    <w:p w14:paraId="502869BD" w14:textId="77777777" w:rsidR="00B12CDD" w:rsidRPr="001A5275" w:rsidRDefault="00B12CDD" w:rsidP="00B12CDD">
      <w:pPr>
        <w:ind w:firstLine="0"/>
        <w:jc w:val="center"/>
        <w:rPr>
          <w:rFonts w:eastAsia="Calibri"/>
          <w:b/>
          <w:bCs/>
          <w:sz w:val="22"/>
          <w:lang w:eastAsia="en-US"/>
        </w:rPr>
      </w:pPr>
      <w:r w:rsidRPr="001A5275">
        <w:rPr>
          <w:rFonts w:eastAsia="Calibri"/>
          <w:b/>
          <w:bCs/>
          <w:sz w:val="22"/>
          <w:lang w:eastAsia="en-US"/>
        </w:rPr>
        <w:t xml:space="preserve">на поставку продуктов питания </w:t>
      </w:r>
      <w:r>
        <w:rPr>
          <w:rFonts w:eastAsia="Calibri"/>
          <w:b/>
          <w:bCs/>
          <w:sz w:val="22"/>
          <w:lang w:eastAsia="en-US"/>
        </w:rPr>
        <w:t>(фрукты, овощи)</w:t>
      </w:r>
    </w:p>
    <w:p w14:paraId="396D474F" w14:textId="77777777" w:rsidR="00B12CDD" w:rsidRPr="001A5275" w:rsidRDefault="00B12CDD" w:rsidP="00B12CDD">
      <w:pPr>
        <w:ind w:firstLine="0"/>
        <w:jc w:val="center"/>
        <w:rPr>
          <w:rFonts w:eastAsia="Calibri"/>
          <w:sz w:val="22"/>
          <w:lang w:eastAsia="en-US"/>
        </w:rPr>
      </w:pPr>
    </w:p>
    <w:p w14:paraId="30557EC3" w14:textId="77777777" w:rsidR="00B12CDD" w:rsidRPr="001A5275" w:rsidRDefault="00B12CDD" w:rsidP="00B12CDD">
      <w:pPr>
        <w:ind w:firstLine="0"/>
        <w:jc w:val="left"/>
        <w:rPr>
          <w:rFonts w:eastAsia="Calibri"/>
          <w:b/>
          <w:bCs/>
          <w:sz w:val="22"/>
          <w:lang w:eastAsia="en-US"/>
        </w:rPr>
      </w:pPr>
      <w:r w:rsidRPr="001A5275">
        <w:rPr>
          <w:rFonts w:eastAsia="Calibri"/>
          <w:b/>
          <w:bCs/>
          <w:sz w:val="22"/>
          <w:lang w:eastAsia="en-US"/>
        </w:rPr>
        <w:t>1. Объект закупки и характеристики товара:</w:t>
      </w:r>
    </w:p>
    <w:p w14:paraId="5AECC93E" w14:textId="77777777" w:rsidR="00B12CDD" w:rsidRPr="00296F91" w:rsidRDefault="00B12CDD" w:rsidP="00B12CDD">
      <w:pPr>
        <w:ind w:firstLine="709"/>
        <w:rPr>
          <w:rFonts w:eastAsia="Calibri"/>
          <w:b/>
          <w:bCs/>
          <w:sz w:val="22"/>
          <w:highlight w:val="yellow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587"/>
        <w:gridCol w:w="6161"/>
        <w:gridCol w:w="672"/>
        <w:gridCol w:w="641"/>
      </w:tblGrid>
      <w:tr w:rsidR="00B12CDD" w:rsidRPr="00296F91" w14:paraId="2CB4F16C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F13786" w14:textId="77777777" w:rsidR="00B12CDD" w:rsidRPr="00296F91" w:rsidRDefault="00B12CDD" w:rsidP="001A375B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6F9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BEE03" w14:textId="77777777" w:rsidR="00B12CDD" w:rsidRPr="00296F91" w:rsidRDefault="00B12CDD" w:rsidP="001A375B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6F9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6DD3B" w14:textId="77777777" w:rsidR="00B12CDD" w:rsidRPr="00296F91" w:rsidRDefault="00B12CDD" w:rsidP="001A375B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6F9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1E8BE" w14:textId="77777777" w:rsidR="00B12CDD" w:rsidRPr="00296F91" w:rsidRDefault="00B12CDD" w:rsidP="001A375B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6F9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Кол-во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BA7F5E" w14:textId="77777777" w:rsidR="00B12CDD" w:rsidRPr="00296F91" w:rsidRDefault="00B12CDD" w:rsidP="001A375B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96F9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</w:tr>
      <w:tr w:rsidR="00B12CDD" w:rsidRPr="00372334" w14:paraId="0C9100E0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49E7F85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EEF80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Яблоки свежие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86E7B3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Соответствует требованиям ГОСТ 34314-2017 «Яблоки свежие, реализуемые в розничной торговле»</w:t>
            </w:r>
          </w:p>
          <w:p w14:paraId="7773B4EF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Внешний вид: плоды целые, чистые, без излишней внешней влажности типичной для помологического сорта формы и окраски с плодоножкой</w:t>
            </w:r>
          </w:p>
          <w:p w14:paraId="2CF13F25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Запах и вкус: свойственные данному помологическому сорту без постороннего запаха и/или привкуса</w:t>
            </w:r>
          </w:p>
          <w:p w14:paraId="3E102DE8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Степень зрелости и состояние плода: плоды съемной степени зрелости, способные выдерживать погрузку, транспортирование, разгрузку и доставку к месту назначения</w:t>
            </w:r>
          </w:p>
          <w:p w14:paraId="0DBDF15B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Состояние мякоти: мякоть доброкачественная</w:t>
            </w:r>
          </w:p>
          <w:p w14:paraId="4AE0DBE4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Наличие сельскохозяйственных вредителей, яблок, поврежденных сельскохозяйственными вредителями: не допускается</w:t>
            </w:r>
          </w:p>
          <w:p w14:paraId="2F609DA2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Наличие яблок загнивших, гнилых, с признаками увядания, перезрелых, с побурением мякоти, испорченных: не допускается</w:t>
            </w:r>
          </w:p>
          <w:p w14:paraId="288C2798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Наличие сорной примеси: не допускается</w:t>
            </w:r>
          </w:p>
          <w:p w14:paraId="23D7C099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460E9" w14:textId="66260A8D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068E61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54DEB426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1DB3890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5C614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Лимоны свежие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B7F8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Соответствует требованиям ГОСТ 34307-2017 «Плоды цитрусовых культур. Технические условия»</w:t>
            </w:r>
          </w:p>
          <w:p w14:paraId="780A829A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Внешний вид: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 и/или товарного типа</w:t>
            </w:r>
          </w:p>
          <w:p w14:paraId="46414229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Запах и вкус: свойственные данной разновидности без постороннего запаха и/или привкуса</w:t>
            </w:r>
          </w:p>
          <w:p w14:paraId="5093EE3E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Минимальная массовая доля сока: 20 %</w:t>
            </w:r>
          </w:p>
          <w:p w14:paraId="5627A813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Окраска: Должна быть типичной для разновидности. Допускаются плоды со светло-зеленой окраской, по площади не превышающей 1/5 общей площади поверхности плода, при условии соблюдения минимальных требований по содержанию сока. Допускаются апельсины, производимые в районах с высокой температурой и высокой относительной влажностью в период роста и имеющие зеленую окраску, занимающую более 1/5 поверхности плода, при условии соблюдения минимальных требований по содержанию сока</w:t>
            </w:r>
          </w:p>
          <w:p w14:paraId="4A67BBCA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C1AE3" w14:textId="653640E0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C03C85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13139BBE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EB1FCFA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30799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Картофель свежий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8726F6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Соответствует требованиям ГОСТ 7176-2017 «Картофель продовольственный. Технические условия»</w:t>
            </w:r>
          </w:p>
          <w:p w14:paraId="5EEE95EA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Внешний вид: клубни целые, чистые, свежие, здоровые, покрытые кожурой, формы и окраски, не проросшие, не увядшие, без повреждений сельскохозяйственными вредителями, без излишней внешней влажности, не позеленевшие, без коричневых пятен, вызванных воздействием тепла. Клубни, полностью покрытые плотной кожурой</w:t>
            </w:r>
          </w:p>
          <w:p w14:paraId="01FA1717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Вид внутренней части клубня: типичная для ботанического сорта окраска. Пятна ржавой (железистой) пятнистости, внутренние пустоты, черная сердцевина и другие внутренние дефекты не допускаются</w:t>
            </w:r>
          </w:p>
          <w:p w14:paraId="7254821A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Запах и вкус: свойственный данному ботаническому сорту, без постороннего запаха и/или привкуса</w:t>
            </w:r>
          </w:p>
          <w:p w14:paraId="2F101ADB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Массовая доля посторонней примеси: не более 2%</w:t>
            </w:r>
          </w:p>
          <w:p w14:paraId="17E31442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lastRenderedPageBreak/>
              <w:t>Наличие клубней, позеленевших на площади более 1/4 поверхности, поврежденных грызунами, подмороженных, запаренных, с признаками "удушья", клубней раздавленных, половинок и частей клубня, пораженных мокрой, сухой, кольцевой, пуговичной гнилями и фитофторой: не допускается</w:t>
            </w:r>
          </w:p>
          <w:p w14:paraId="7D8CF380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2366794D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Объем/фасовка: не более 40 кг.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845EE" w14:textId="43249C12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500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8AF95D3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640C69E0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4A8490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C7F86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Лук репчатый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451138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Соответствует требованиям ГОСТ 34306-2017 «Лук репчатый свежий. Технические условия»</w:t>
            </w:r>
          </w:p>
          <w:p w14:paraId="1BB26D82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Внешний вид: 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(за исключением лука в связках), без излишней внешней влажности, без полого и жесткого донца</w:t>
            </w:r>
          </w:p>
          <w:p w14:paraId="271FD7BD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Запах и вкус: характерные для ботанического сорта, без постороннего запаха и/или привкуса</w:t>
            </w:r>
          </w:p>
          <w:p w14:paraId="0BA43A64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Степень зрелости и состояние луковиц: позволяющие выдерживать транспортирование, погрузку, разгрузку и доставку к месту назначения в удовлетворительном состоянии. Первые два наружных слоя чешуи и шейка должны быть сухими</w:t>
            </w:r>
          </w:p>
          <w:p w14:paraId="3660C1CE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38F7CD82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Объем/фасовка: не более 15 кг.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3CD9E" w14:textId="1CD92AF4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243F49F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3BB75767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B46A8B7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3555C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Морковь столовая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AEA54F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Соответствует требованиям ГОСТ 32284-2013 «Морковь столовая свежая, реализуемая в розничной торговой сети. Технические условия»</w:t>
            </w:r>
          </w:p>
          <w:p w14:paraId="170876FB" w14:textId="2954B02F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Внешний вид: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них, но без повреждения плечиков головки корнеплодов.</w:t>
            </w:r>
            <w:r w:rsidR="007A0AF5">
              <w:rPr>
                <w:rFonts w:eastAsia="Calibri"/>
                <w:sz w:val="20"/>
                <w:szCs w:val="20"/>
              </w:rPr>
              <w:t xml:space="preserve"> </w:t>
            </w:r>
            <w:r w:rsidRPr="00372334">
              <w:rPr>
                <w:rFonts w:eastAsia="Calibri"/>
                <w:sz w:val="20"/>
                <w:szCs w:val="20"/>
              </w:rPr>
              <w:t>Корнеплоды должны быть гладкими, свежими на вид, правильной формы, не побитыми, без трещин, не подмороженными, без боковых корешков, без зеленоватых или лиловатых головок.</w:t>
            </w:r>
          </w:p>
          <w:p w14:paraId="3AC94643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Допускаются корнеплоды с весьма незначительными дефектами формы и окраски, не влияющими на общий внешний вид, качество, сохраняемость и товарный вид продукта в упаковке</w:t>
            </w:r>
          </w:p>
          <w:p w14:paraId="56995254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Запах и вкус: свойственные данному ботаническому сорту, без постороннего запаха и/или привкуса</w:t>
            </w:r>
          </w:p>
          <w:p w14:paraId="52F84020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18C0DCC6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Объем/фасовка: не более 20 кг.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266E8" w14:textId="4B4BBD3F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E63DD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D9296FE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5B46C5C3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A0EF0D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F7706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Капуста белокочанная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860EF4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Соответствует требованиям ГОСТ Р 51809-2001 «Капуста белокочанная свежая, реализуемая в розничной торговой сети. Технические условия»</w:t>
            </w:r>
          </w:p>
          <w:p w14:paraId="2FF85E17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Внешний вид: кочаны свежие, целые, здоровые, чистые, вполне сформировавшиеся, непроросшие,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</w:r>
          </w:p>
          <w:p w14:paraId="663E5BB7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Запах и вкус: свойственные данному ботаническому сорту, без постороннего запаха и привкуса.</w:t>
            </w:r>
          </w:p>
          <w:p w14:paraId="015160A3" w14:textId="30F7CA6D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Плотность кочана: плотные или менее</w:t>
            </w:r>
            <w:r w:rsidR="007A0AF5">
              <w:rPr>
                <w:rFonts w:eastAsia="Calibri"/>
                <w:sz w:val="20"/>
                <w:szCs w:val="20"/>
              </w:rPr>
              <w:t xml:space="preserve"> </w:t>
            </w:r>
            <w:r w:rsidRPr="00372334">
              <w:rPr>
                <w:rFonts w:eastAsia="Calibri"/>
                <w:sz w:val="20"/>
                <w:szCs w:val="20"/>
              </w:rPr>
              <w:t>плотные, но не рыхлые.</w:t>
            </w:r>
          </w:p>
          <w:p w14:paraId="29F508EF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 xml:space="preserve">Зачистка кочана: кочаны должны быть зачищены до плотно облегающих зеленых или белых листьев </w:t>
            </w:r>
          </w:p>
          <w:p w14:paraId="386489C0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Длина кочерыги над кочаном: не более 3,0 см</w:t>
            </w:r>
          </w:p>
          <w:p w14:paraId="04055053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Упаковка: предназначенная и соответствующая стандартам для данной продукции</w:t>
            </w:r>
          </w:p>
          <w:p w14:paraId="5AE7398C" w14:textId="77777777" w:rsidR="00B12CDD" w:rsidRPr="00372334" w:rsidRDefault="00B12CDD" w:rsidP="001A375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372334">
              <w:rPr>
                <w:rFonts w:eastAsia="Calibri"/>
                <w:sz w:val="20"/>
                <w:szCs w:val="20"/>
              </w:rPr>
              <w:t>Объем/фасовка: не более 20 кг.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78EF1" w14:textId="2FC4EEA4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E63D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853A0A6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6946B66F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51DB24A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DA2AB" w14:textId="3C4752BC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Ягоды свежеморож</w:t>
            </w:r>
            <w:r w:rsidR="007A0AF5">
              <w:rPr>
                <w:rFonts w:eastAsia="Calibri"/>
                <w:sz w:val="20"/>
                <w:szCs w:val="20"/>
                <w:lang w:eastAsia="en-US"/>
              </w:rPr>
              <w:t>еные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662F2D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Соответствует требованиям ГОСТ 33823-2016 Фрукты быстрозамороженные. Общие технические условия</w:t>
            </w:r>
          </w:p>
          <w:p w14:paraId="6B2C7589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 xml:space="preserve">Сорт: не менее 1 сорт. </w:t>
            </w:r>
          </w:p>
          <w:p w14:paraId="23A5FEB6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Внешний вид – плоды одного помологического сорта, зрелые, чистые, без повреждений сельскохозяйственными вредителями. Плоды косточковые – целые без косточек. Цвет - однородный, свойственный данному виду свежих плодов в потребительской стадии зрелости. Вкус и запах – свойственный данному виду плодов, без постороннего привкуса и запаха.</w:t>
            </w:r>
          </w:p>
          <w:p w14:paraId="32294A3C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1A986" w14:textId="7A0DB602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E63D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1A16FB1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504609BE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8D1B80F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EFB55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Свекла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4CA43B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 xml:space="preserve">Соответствие Техническому регламенту ТС 021/2011 «О безопасности пищевой продукции», ГОСТ 32285-2013 Корнеплоды свежие, целые, здоровые, чистые, не треснувшие, без признаков прорастания, форма и окраска типичные для ботанического сорта, без повреждений сельскохозяйственными вредителями, без излишней внешней влажности. Форма упаковка: Сетка не более 30 кг.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50F52" w14:textId="5840ACEA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769C8B8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748EA6C8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9F0A221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8993E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Курага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6B9D6B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Плоды без косточек, правильной круглой или овальной формы, с не поврежденной кожицей, не слипающиеся, цвет: однородный от светло-желтого до ярко-оранжевого. Без посторонних запахов и примесей. Фасовка от 1- 5 кг. Товар по показаниям качества и безопасности должен соответствовать требованиям ГОСТ 32896-2014 или другим техническим документам с показателями качества и безопасности, не нижеуказанных для данного товара.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2C6B1" w14:textId="7A757210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90D76AD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  <w:tr w:rsidR="00B12CDD" w:rsidRPr="00372334" w14:paraId="4686D07F" w14:textId="77777777" w:rsidTr="001A375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FA141FE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D6027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Изюм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0E7874" w14:textId="77777777" w:rsidR="00B12CDD" w:rsidRPr="00372334" w:rsidRDefault="00B12CDD" w:rsidP="001A375B">
            <w:pPr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Изюм сушенный. Плоды без косточек, правильной круглой или овальной формы, с не поврежденной кожицей, не слипающиеся, цвет: однородный от светло-желтого до ярко-оранжевого. Без посторонних запахов и примесей. Поставляемый товар должен соответствовать требованиям ГОСТ 6882-88 или другим техническим документам с показателями качества и безопасности, не нижеуказанных для данного товара.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FF480" w14:textId="22B3F4FF" w:rsidR="00B12CDD" w:rsidRPr="00372334" w:rsidRDefault="002E63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7C39DBB" w14:textId="77777777" w:rsidR="00B12CDD" w:rsidRPr="00372334" w:rsidRDefault="00B12CDD" w:rsidP="001A375B">
            <w:pPr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72334"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</w:tr>
    </w:tbl>
    <w:p w14:paraId="3CF96F81" w14:textId="77777777" w:rsidR="00B12CDD" w:rsidRDefault="00B12CDD" w:rsidP="00B12CDD">
      <w:pPr>
        <w:ind w:firstLine="709"/>
        <w:rPr>
          <w:rFonts w:eastAsia="Calibri"/>
          <w:b/>
          <w:sz w:val="22"/>
          <w:highlight w:val="yellow"/>
          <w:lang w:eastAsia="ar-SA"/>
        </w:rPr>
      </w:pPr>
    </w:p>
    <w:p w14:paraId="483779C2" w14:textId="31CEDF4E" w:rsidR="00B12CDD" w:rsidRPr="007A0AF5" w:rsidRDefault="00B12CDD" w:rsidP="00B12CDD">
      <w:pPr>
        <w:ind w:firstLine="709"/>
        <w:rPr>
          <w:rFonts w:eastAsia="Calibri"/>
          <w:b/>
          <w:sz w:val="22"/>
          <w:lang w:eastAsia="ar-SA"/>
        </w:rPr>
      </w:pPr>
      <w:r w:rsidRPr="001A5275">
        <w:rPr>
          <w:rFonts w:eastAsia="Calibri"/>
          <w:b/>
          <w:sz w:val="22"/>
          <w:lang w:eastAsia="ar-SA"/>
        </w:rPr>
        <w:t xml:space="preserve">2. Место поставки: </w:t>
      </w:r>
      <w:r w:rsidRPr="007A0AF5">
        <w:rPr>
          <w:rFonts w:eastAsia="Calibri"/>
          <w:bCs/>
          <w:sz w:val="22"/>
          <w:lang w:eastAsia="ar-SA"/>
        </w:rPr>
        <w:t>627085, Тюменская обл.,</w:t>
      </w:r>
      <w:r w:rsidR="002E63DD" w:rsidRPr="007A0AF5">
        <w:rPr>
          <w:rFonts w:eastAsia="Calibri"/>
          <w:bCs/>
          <w:sz w:val="22"/>
          <w:lang w:eastAsia="ar-SA"/>
        </w:rPr>
        <w:t xml:space="preserve"> </w:t>
      </w:r>
      <w:r w:rsidRPr="007A0AF5">
        <w:rPr>
          <w:rFonts w:eastAsia="Calibri"/>
          <w:bCs/>
          <w:sz w:val="22"/>
          <w:lang w:eastAsia="ar-SA"/>
        </w:rPr>
        <w:t>Омутинский р-н,</w:t>
      </w:r>
      <w:r w:rsidR="002E63DD" w:rsidRPr="007A0AF5">
        <w:rPr>
          <w:rFonts w:eastAsia="Calibri"/>
          <w:bCs/>
          <w:sz w:val="22"/>
          <w:lang w:eastAsia="ar-SA"/>
        </w:rPr>
        <w:t xml:space="preserve"> </w:t>
      </w:r>
      <w:proofErr w:type="spellStart"/>
      <w:r w:rsidRPr="007A0AF5">
        <w:rPr>
          <w:rFonts w:eastAsia="Calibri"/>
          <w:bCs/>
          <w:sz w:val="22"/>
          <w:lang w:eastAsia="ar-SA"/>
        </w:rPr>
        <w:t>с.Большой</w:t>
      </w:r>
      <w:proofErr w:type="spellEnd"/>
      <w:r w:rsidRPr="007A0AF5">
        <w:rPr>
          <w:rFonts w:eastAsia="Calibri"/>
          <w:bCs/>
          <w:sz w:val="22"/>
          <w:lang w:eastAsia="ar-SA"/>
        </w:rPr>
        <w:t xml:space="preserve"> </w:t>
      </w:r>
      <w:proofErr w:type="spellStart"/>
      <w:r w:rsidRPr="007A0AF5">
        <w:rPr>
          <w:rFonts w:eastAsia="Calibri"/>
          <w:bCs/>
          <w:sz w:val="22"/>
          <w:lang w:eastAsia="ar-SA"/>
        </w:rPr>
        <w:t>Краснояр</w:t>
      </w:r>
      <w:proofErr w:type="spellEnd"/>
      <w:r w:rsidRPr="007A0AF5">
        <w:rPr>
          <w:rFonts w:eastAsia="Calibri"/>
          <w:bCs/>
          <w:sz w:val="22"/>
          <w:lang w:eastAsia="ar-SA"/>
        </w:rPr>
        <w:t>, ул. Гагарина, 10.</w:t>
      </w:r>
    </w:p>
    <w:p w14:paraId="1346F5C6" w14:textId="34678A81" w:rsidR="00B12CDD" w:rsidRPr="001A5275" w:rsidRDefault="00B12CDD" w:rsidP="00B12CDD">
      <w:pPr>
        <w:ind w:firstLine="709"/>
        <w:rPr>
          <w:rFonts w:eastAsia="Calibri"/>
          <w:bCs/>
          <w:sz w:val="22"/>
          <w:lang w:eastAsia="ar-SA"/>
        </w:rPr>
      </w:pPr>
      <w:r w:rsidRPr="007A0AF5">
        <w:rPr>
          <w:rFonts w:eastAsia="Calibri"/>
          <w:b/>
          <w:sz w:val="22"/>
          <w:lang w:eastAsia="ar-SA"/>
        </w:rPr>
        <w:t xml:space="preserve">3. Период поставки товара: </w:t>
      </w:r>
      <w:r w:rsidRPr="007A0AF5">
        <w:rPr>
          <w:rFonts w:eastAsia="Calibri"/>
          <w:bCs/>
          <w:sz w:val="22"/>
          <w:lang w:eastAsia="ar-SA"/>
        </w:rPr>
        <w:t xml:space="preserve">с </w:t>
      </w:r>
      <w:r w:rsidR="002E63DD" w:rsidRPr="007A0AF5">
        <w:rPr>
          <w:rFonts w:eastAsia="Calibri"/>
          <w:bCs/>
          <w:sz w:val="22"/>
          <w:lang w:eastAsia="ar-SA"/>
        </w:rPr>
        <w:t>даты заключения договора</w:t>
      </w:r>
      <w:r w:rsidRPr="007A0AF5">
        <w:rPr>
          <w:rFonts w:eastAsia="Calibri"/>
          <w:bCs/>
          <w:sz w:val="22"/>
          <w:lang w:eastAsia="ar-SA"/>
        </w:rPr>
        <w:t xml:space="preserve"> по 3</w:t>
      </w:r>
      <w:r w:rsidR="002E63DD" w:rsidRPr="007A0AF5">
        <w:rPr>
          <w:rFonts w:eastAsia="Calibri"/>
          <w:bCs/>
          <w:sz w:val="22"/>
          <w:lang w:eastAsia="ar-SA"/>
        </w:rPr>
        <w:t>1</w:t>
      </w:r>
      <w:r w:rsidRPr="007A0AF5">
        <w:rPr>
          <w:rFonts w:eastAsia="Calibri"/>
          <w:bCs/>
          <w:sz w:val="22"/>
          <w:lang w:eastAsia="ar-SA"/>
        </w:rPr>
        <w:t>.</w:t>
      </w:r>
      <w:r w:rsidR="002E63DD" w:rsidRPr="007A0AF5">
        <w:rPr>
          <w:rFonts w:eastAsia="Calibri"/>
          <w:bCs/>
          <w:sz w:val="22"/>
          <w:lang w:eastAsia="ar-SA"/>
        </w:rPr>
        <w:t>12</w:t>
      </w:r>
      <w:r w:rsidRPr="007A0AF5">
        <w:rPr>
          <w:rFonts w:eastAsia="Calibri"/>
          <w:bCs/>
          <w:sz w:val="22"/>
          <w:lang w:eastAsia="ar-SA"/>
        </w:rPr>
        <w:t>.202</w:t>
      </w:r>
      <w:r w:rsidR="002E63DD" w:rsidRPr="007A0AF5">
        <w:rPr>
          <w:rFonts w:eastAsia="Calibri"/>
          <w:bCs/>
          <w:sz w:val="22"/>
          <w:lang w:eastAsia="ar-SA"/>
        </w:rPr>
        <w:t>5</w:t>
      </w:r>
      <w:r w:rsidRPr="007A0AF5">
        <w:rPr>
          <w:rFonts w:eastAsia="Calibri"/>
          <w:bCs/>
          <w:sz w:val="22"/>
          <w:lang w:eastAsia="ar-SA"/>
        </w:rPr>
        <w:t xml:space="preserve"> года, согласно заявкам Заказчика.</w:t>
      </w:r>
    </w:p>
    <w:p w14:paraId="244F6ECB" w14:textId="77777777" w:rsidR="00B12CDD" w:rsidRPr="001A5275" w:rsidRDefault="00B12CDD" w:rsidP="00B12CDD">
      <w:pPr>
        <w:ind w:firstLine="709"/>
        <w:rPr>
          <w:rFonts w:eastAsia="Calibri"/>
          <w:bCs/>
          <w:sz w:val="22"/>
          <w:lang w:eastAsia="ar-SA"/>
        </w:rPr>
      </w:pPr>
      <w:r w:rsidRPr="001A5275">
        <w:rPr>
          <w:rFonts w:eastAsia="Calibri"/>
          <w:bCs/>
          <w:sz w:val="22"/>
          <w:lang w:eastAsia="ar-SA"/>
        </w:rPr>
        <w:t>Поставка Товара оказывается транспортным средством Поставщика, согласно, поданной заявки Заказчика. Заявка Заказчика поступает Поставщику посредством телекоммуникационных каналов связи в устной форме (в телефонном режиме), по форме заявки, не позднее, чем за сутки до дня поставки.</w:t>
      </w:r>
    </w:p>
    <w:p w14:paraId="165A2EA0" w14:textId="77777777" w:rsidR="00B12CDD" w:rsidRPr="001A5275" w:rsidRDefault="00B12CDD" w:rsidP="00B12CDD">
      <w:pPr>
        <w:ind w:firstLine="709"/>
        <w:rPr>
          <w:rFonts w:eastAsia="Calibri"/>
          <w:b/>
          <w:sz w:val="22"/>
          <w:lang w:eastAsia="ar-SA"/>
        </w:rPr>
      </w:pPr>
      <w:r w:rsidRPr="001A5275">
        <w:rPr>
          <w:rFonts w:eastAsia="Calibri"/>
          <w:b/>
          <w:sz w:val="22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1CBB718A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5DFF8490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Федеральным законом от 02.01.2000 № 29-ФЗ «О качестве и безопасности пищевых продуктов»;</w:t>
      </w:r>
    </w:p>
    <w:p w14:paraId="2E8D6274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 xml:space="preserve">- </w:t>
      </w:r>
      <w:r w:rsidRPr="001A5275">
        <w:rPr>
          <w:rFonts w:eastAsia="Times New Roman"/>
          <w:sz w:val="22"/>
        </w:rPr>
        <w:t>Федеральным закон от 30.03.1999 № 52-ФЗ «О санитарно-эпидемиологическом благополучии населения»;</w:t>
      </w:r>
    </w:p>
    <w:p w14:paraId="0106C354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7B80100E" w14:textId="77777777" w:rsidR="00B12CDD" w:rsidRPr="001A5275" w:rsidRDefault="00B12CDD" w:rsidP="00B12CDD">
      <w:pPr>
        <w:ind w:firstLine="709"/>
        <w:rPr>
          <w:rFonts w:eastAsia="Times New Roman"/>
          <w:sz w:val="22"/>
        </w:rPr>
      </w:pPr>
      <w:r w:rsidRPr="001A5275">
        <w:rPr>
          <w:rFonts w:eastAsia="Calibri"/>
          <w:sz w:val="22"/>
          <w:lang w:eastAsia="ar-SA"/>
        </w:rPr>
        <w:t xml:space="preserve">- </w:t>
      </w:r>
      <w:r w:rsidRPr="001A5275">
        <w:rPr>
          <w:rFonts w:eastAsia="Times New Roman"/>
          <w:sz w:val="22"/>
        </w:rPr>
        <w:t>СанПиН 2.3.2.1078-01 «Гигиенические требования к безопасности и пищевой ценности пищевых продуктов»;</w:t>
      </w:r>
    </w:p>
    <w:p w14:paraId="7AF4DF2C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F228A8E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B2A2EE6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ТР ТС 021/2011 «О безопасности пищевой продукции»;</w:t>
      </w:r>
    </w:p>
    <w:p w14:paraId="6C55E1B4" w14:textId="77777777" w:rsidR="00B12CDD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lastRenderedPageBreak/>
        <w:t>- ТР ТС 022/2011 «Пищевая продукция в части ее маркировки»;</w:t>
      </w:r>
    </w:p>
    <w:p w14:paraId="35C0A06A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EC0F3B">
        <w:rPr>
          <w:rFonts w:eastAsia="Calibri"/>
          <w:sz w:val="22"/>
          <w:lang w:eastAsia="ar-SA"/>
        </w:rPr>
        <w:t>- ТР ТС 033/2013 «О безопасности молока и молочной продукции»;</w:t>
      </w:r>
    </w:p>
    <w:p w14:paraId="39D6DD3F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ТР ТС 005/2011 «О безопасности упаковки»;</w:t>
      </w:r>
    </w:p>
    <w:p w14:paraId="02F29275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2EE93A71" w14:textId="77777777" w:rsidR="00B12CDD" w:rsidRPr="001A5275" w:rsidRDefault="00B12CDD" w:rsidP="00B12CDD">
      <w:pPr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1A5275">
        <w:rPr>
          <w:rFonts w:eastAsia="Times New Roman"/>
          <w:sz w:val="22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4473D3C6" w14:textId="77777777" w:rsidR="00B12CDD" w:rsidRPr="001A5275" w:rsidRDefault="00B12CDD" w:rsidP="00B12CDD">
      <w:pPr>
        <w:tabs>
          <w:tab w:val="left" w:pos="142"/>
        </w:tabs>
        <w:ind w:firstLine="709"/>
        <w:rPr>
          <w:rFonts w:eastAsia="Calibri"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</w:t>
      </w:r>
      <w:r>
        <w:rPr>
          <w:rFonts w:eastAsia="Calibri"/>
          <w:sz w:val="22"/>
          <w:lang w:eastAsia="ar-SA"/>
        </w:rPr>
        <w:t>«</w:t>
      </w:r>
      <w:r w:rsidRPr="001A5275">
        <w:rPr>
          <w:rFonts w:eastAsia="Calibri"/>
          <w:sz w:val="22"/>
          <w:lang w:eastAsia="ar-SA"/>
        </w:rPr>
        <w:t>Пищевая продукция в части ее маркировки</w:t>
      </w:r>
      <w:r>
        <w:rPr>
          <w:rFonts w:eastAsia="Calibri"/>
          <w:sz w:val="22"/>
          <w:lang w:eastAsia="ar-SA"/>
        </w:rPr>
        <w:t>»</w:t>
      </w:r>
      <w:r w:rsidRPr="001A5275">
        <w:rPr>
          <w:rFonts w:eastAsia="Calibri"/>
          <w:sz w:val="22"/>
          <w:lang w:eastAsia="ar-SA"/>
        </w:rPr>
        <w:t xml:space="preserve"> (ТР ТС 022/2011). </w:t>
      </w:r>
    </w:p>
    <w:p w14:paraId="2A9031CA" w14:textId="77777777" w:rsidR="00B12CDD" w:rsidRPr="001A5275" w:rsidRDefault="00B12CDD" w:rsidP="00B12CDD">
      <w:pPr>
        <w:ind w:firstLine="709"/>
        <w:rPr>
          <w:rFonts w:eastAsia="Calibri"/>
          <w:i/>
          <w:sz w:val="22"/>
          <w:lang w:eastAsia="ar-SA"/>
        </w:rPr>
      </w:pPr>
      <w:r w:rsidRPr="001A5275">
        <w:rPr>
          <w:rFonts w:eastAsia="Calibri"/>
          <w:sz w:val="22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78D2EA92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b/>
          <w:sz w:val="22"/>
          <w:lang w:eastAsia="ar-SA"/>
        </w:rPr>
      </w:pPr>
      <w:r w:rsidRPr="001A5275">
        <w:rPr>
          <w:rFonts w:eastAsia="Times New Roman"/>
          <w:b/>
          <w:sz w:val="22"/>
          <w:lang w:eastAsia="ar-SA"/>
        </w:rPr>
        <w:t>5. Требования к сроку и (или) объему предоставления гарантий качества товаров:</w:t>
      </w:r>
    </w:p>
    <w:p w14:paraId="4E7DDB39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D500108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11447C41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5.3. Остаточный срок годности: не менее 80% от установленного производителем.</w:t>
      </w:r>
    </w:p>
    <w:p w14:paraId="0B5F961E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b/>
          <w:sz w:val="22"/>
          <w:lang w:eastAsia="ar-SA"/>
        </w:rPr>
      </w:pPr>
      <w:r w:rsidRPr="001A5275">
        <w:rPr>
          <w:rFonts w:eastAsia="Times New Roman"/>
          <w:b/>
          <w:sz w:val="22"/>
          <w:lang w:eastAsia="ar-SA"/>
        </w:rPr>
        <w:t>6. Требования к условиям поставки товара, отгрузке товара:</w:t>
      </w:r>
    </w:p>
    <w:p w14:paraId="6D0EC1D4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6A2EE669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44A48DA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50D98C97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6.4. Товар должен сопровождаться следующими документами:</w:t>
      </w:r>
    </w:p>
    <w:p w14:paraId="44F35BF1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– товарная накладная (ТОРГ-12) или УПД (оригиналы);</w:t>
      </w:r>
    </w:p>
    <w:p w14:paraId="471AF348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– счет на оплату (оригиналы);</w:t>
      </w:r>
    </w:p>
    <w:p w14:paraId="6FF3FCFA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– счет-фактура или УПД (оригиналы);</w:t>
      </w:r>
    </w:p>
    <w:p w14:paraId="7E3CEB44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– копия сертификата соответствия или декларации соответствия.</w:t>
      </w:r>
    </w:p>
    <w:p w14:paraId="021A9800" w14:textId="77777777" w:rsidR="00B12CDD" w:rsidRPr="001A5275" w:rsidRDefault="00B12CDD" w:rsidP="00B12CDD">
      <w:pPr>
        <w:tabs>
          <w:tab w:val="left" w:pos="-851"/>
        </w:tabs>
        <w:ind w:firstLine="709"/>
        <w:rPr>
          <w:rFonts w:eastAsia="Times New Roman"/>
          <w:sz w:val="22"/>
          <w:lang w:eastAsia="ar-SA"/>
        </w:rPr>
      </w:pPr>
      <w:r w:rsidRPr="001A5275">
        <w:rPr>
          <w:rFonts w:eastAsia="Times New Roman"/>
          <w:sz w:val="22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5145FB0F" w14:textId="77777777" w:rsidR="00B12CDD" w:rsidRPr="001A5275" w:rsidRDefault="00B12CDD" w:rsidP="00B12CDD">
      <w:pPr>
        <w:autoSpaceDE w:val="0"/>
        <w:autoSpaceDN w:val="0"/>
        <w:adjustRightInd w:val="0"/>
        <w:ind w:firstLine="0"/>
        <w:jc w:val="right"/>
        <w:rPr>
          <w:b/>
          <w:bCs/>
          <w:szCs w:val="24"/>
          <w:lang w:eastAsia="en-US"/>
        </w:rPr>
      </w:pPr>
    </w:p>
    <w:p w14:paraId="04BD5E19" w14:textId="03394850" w:rsidR="0052367F" w:rsidRDefault="0052367F" w:rsidP="002E63DD">
      <w:pPr>
        <w:ind w:firstLine="0"/>
      </w:pPr>
    </w:p>
    <w:sectPr w:rsidR="0052367F" w:rsidSect="0052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CDD"/>
    <w:rsid w:val="00013F71"/>
    <w:rsid w:val="00047791"/>
    <w:rsid w:val="000F016C"/>
    <w:rsid w:val="001D0A3A"/>
    <w:rsid w:val="002D5823"/>
    <w:rsid w:val="002E63DD"/>
    <w:rsid w:val="00390D36"/>
    <w:rsid w:val="0052367F"/>
    <w:rsid w:val="00524165"/>
    <w:rsid w:val="007A0AF5"/>
    <w:rsid w:val="0098143C"/>
    <w:rsid w:val="00A946C7"/>
    <w:rsid w:val="00B12CDD"/>
    <w:rsid w:val="00B85115"/>
    <w:rsid w:val="00BB06F2"/>
    <w:rsid w:val="00F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F79C"/>
  <w15:docId w15:val="{2BB8B1FC-C28C-4BC7-BC5B-B59535C1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CDD"/>
    <w:pPr>
      <w:spacing w:after="0" w:line="240" w:lineRule="auto"/>
      <w:ind w:firstLine="708"/>
      <w:jc w:val="both"/>
    </w:pPr>
    <w:rPr>
      <w:rFonts w:ascii="Times New Roman" w:eastAsia="Courier New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is@etp-mir.ru</cp:lastModifiedBy>
  <cp:revision>13</cp:revision>
  <dcterms:created xsi:type="dcterms:W3CDTF">2024-10-30T11:05:00Z</dcterms:created>
  <dcterms:modified xsi:type="dcterms:W3CDTF">2025-06-05T08:59:00Z</dcterms:modified>
</cp:coreProperties>
</file>