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70" w:rsidRPr="007C6370" w:rsidRDefault="007C6370" w:rsidP="007C6370">
      <w:pPr>
        <w:suppressAutoHyphens/>
        <w:autoSpaceDN w:val="0"/>
        <w:ind w:left="6663"/>
        <w:jc w:val="both"/>
        <w:textAlignment w:val="baseline"/>
        <w:rPr>
          <w:rFonts w:ascii="Liberation Serif" w:eastAsia="Times New Roman" w:hAnsi="Liberation Serif" w:cs="Liberation Serif"/>
          <w:i/>
          <w:szCs w:val="24"/>
          <w:lang w:eastAsia="ru-RU"/>
        </w:rPr>
      </w:pPr>
    </w:p>
    <w:p w:rsidR="007C6370" w:rsidRPr="007C6370" w:rsidRDefault="007C6370" w:rsidP="007C6370">
      <w:pPr>
        <w:jc w:val="right"/>
        <w:rPr>
          <w:b/>
          <w:sz w:val="21"/>
          <w:szCs w:val="21"/>
        </w:rPr>
      </w:pPr>
      <w:r w:rsidRPr="007C6370">
        <w:rPr>
          <w:b/>
          <w:sz w:val="21"/>
          <w:szCs w:val="21"/>
        </w:rPr>
        <w:t xml:space="preserve">Приложение №4 </w:t>
      </w:r>
    </w:p>
    <w:p w:rsidR="007C6370" w:rsidRDefault="007C6370" w:rsidP="007C6370">
      <w:pPr>
        <w:jc w:val="right"/>
        <w:rPr>
          <w:b/>
          <w:sz w:val="21"/>
          <w:szCs w:val="21"/>
        </w:rPr>
      </w:pPr>
      <w:r w:rsidRPr="007C6370">
        <w:rPr>
          <w:b/>
          <w:sz w:val="21"/>
          <w:szCs w:val="21"/>
        </w:rPr>
        <w:t>к извещению</w:t>
      </w:r>
    </w:p>
    <w:p w:rsidR="00274358" w:rsidRPr="007C6370" w:rsidRDefault="00274358" w:rsidP="007C6370">
      <w:pPr>
        <w:jc w:val="right"/>
        <w:rPr>
          <w:b/>
          <w:sz w:val="21"/>
          <w:szCs w:val="21"/>
        </w:rPr>
      </w:pPr>
    </w:p>
    <w:p w:rsidR="00274358" w:rsidRPr="00721373" w:rsidRDefault="00274358" w:rsidP="00274358">
      <w:pPr>
        <w:tabs>
          <w:tab w:val="left" w:pos="3594"/>
        </w:tabs>
        <w:jc w:val="center"/>
        <w:rPr>
          <w:b/>
          <w:sz w:val="22"/>
        </w:rPr>
      </w:pPr>
      <w:r w:rsidRPr="00721373">
        <w:rPr>
          <w:b/>
          <w:sz w:val="22"/>
        </w:rPr>
        <w:t>Обоснование начальной (максимальной) цены договора</w:t>
      </w:r>
    </w:p>
    <w:p w:rsidR="00274358" w:rsidRDefault="00274358" w:rsidP="00274358">
      <w:pPr>
        <w:tabs>
          <w:tab w:val="left" w:pos="3594"/>
        </w:tabs>
        <w:jc w:val="center"/>
        <w:rPr>
          <w:rFonts w:ascii="Liberation Serif" w:hAnsi="Liberation Serif"/>
          <w:b/>
        </w:rPr>
      </w:pPr>
    </w:p>
    <w:tbl>
      <w:tblPr>
        <w:tblW w:w="20224" w:type="dxa"/>
        <w:tblInd w:w="108" w:type="dxa"/>
        <w:tblLook w:val="04A0" w:firstRow="1" w:lastRow="0" w:firstColumn="1" w:lastColumn="0" w:noHBand="0" w:noVBand="1"/>
      </w:tblPr>
      <w:tblGrid>
        <w:gridCol w:w="511"/>
        <w:gridCol w:w="2608"/>
        <w:gridCol w:w="903"/>
        <w:gridCol w:w="1262"/>
        <w:gridCol w:w="1461"/>
        <w:gridCol w:w="1477"/>
        <w:gridCol w:w="1481"/>
        <w:gridCol w:w="1484"/>
        <w:gridCol w:w="1484"/>
        <w:gridCol w:w="1461"/>
        <w:gridCol w:w="1420"/>
        <w:gridCol w:w="2319"/>
        <w:gridCol w:w="2353"/>
      </w:tblGrid>
      <w:tr w:rsidR="002734F1" w:rsidRPr="002734F1" w:rsidTr="002734F1">
        <w:trPr>
          <w:trHeight w:val="270"/>
        </w:trPr>
        <w:tc>
          <w:tcPr>
            <w:tcW w:w="14132" w:type="dxa"/>
            <w:gridSpan w:val="10"/>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r w:rsidRPr="002734F1">
              <w:rPr>
                <w:rFonts w:eastAsia="Times New Roman" w:cs="Times New Roman"/>
                <w:sz w:val="18"/>
                <w:szCs w:val="18"/>
                <w:lang w:eastAsia="ru-RU"/>
              </w:rPr>
              <w:t xml:space="preserve">"Для определения начальной (максимальной) цены договора применён метод сопоставимых рыночных цен (анализа рынка)  в соответствии с </w:t>
            </w:r>
            <w:proofErr w:type="spellStart"/>
            <w:r w:rsidRPr="002734F1">
              <w:rPr>
                <w:rFonts w:eastAsia="Times New Roman" w:cs="Times New Roman"/>
                <w:sz w:val="18"/>
                <w:szCs w:val="18"/>
                <w:lang w:eastAsia="ru-RU"/>
              </w:rPr>
              <w:t>гл.5</w:t>
            </w:r>
            <w:proofErr w:type="spellEnd"/>
            <w:r w:rsidRPr="002734F1">
              <w:rPr>
                <w:rFonts w:eastAsia="Times New Roman" w:cs="Times New Roman"/>
                <w:sz w:val="18"/>
                <w:szCs w:val="18"/>
                <w:lang w:eastAsia="ru-RU"/>
              </w:rPr>
              <w:t xml:space="preserve"> ПОЛОЖЕНИЯ </w:t>
            </w:r>
          </w:p>
        </w:tc>
        <w:tc>
          <w:tcPr>
            <w:tcW w:w="1420"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319"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353"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r>
      <w:tr w:rsidR="002734F1" w:rsidRPr="002734F1" w:rsidTr="002734F1">
        <w:trPr>
          <w:trHeight w:val="270"/>
        </w:trPr>
        <w:tc>
          <w:tcPr>
            <w:tcW w:w="14132" w:type="dxa"/>
            <w:gridSpan w:val="10"/>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r w:rsidRPr="002734F1">
              <w:rPr>
                <w:rFonts w:eastAsia="Times New Roman" w:cs="Times New Roman"/>
                <w:sz w:val="18"/>
                <w:szCs w:val="18"/>
                <w:lang w:eastAsia="ru-RU"/>
              </w:rPr>
              <w:t>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1420"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319"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353"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r>
      <w:tr w:rsidR="002734F1" w:rsidRPr="002734F1" w:rsidTr="002734F1">
        <w:trPr>
          <w:trHeight w:val="240"/>
        </w:trPr>
        <w:tc>
          <w:tcPr>
            <w:tcW w:w="51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608"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903"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p>
        </w:tc>
        <w:tc>
          <w:tcPr>
            <w:tcW w:w="1262"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77"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8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20"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p>
        </w:tc>
      </w:tr>
      <w:tr w:rsidR="002734F1" w:rsidRPr="002734F1" w:rsidTr="002734F1">
        <w:trPr>
          <w:trHeight w:val="1035"/>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 </w:t>
            </w:r>
            <w:proofErr w:type="gramStart"/>
            <w:r w:rsidRPr="002734F1">
              <w:rPr>
                <w:rFonts w:eastAsia="Times New Roman" w:cs="Times New Roman"/>
                <w:color w:val="000000"/>
                <w:sz w:val="18"/>
                <w:szCs w:val="18"/>
                <w:lang w:eastAsia="ru-RU"/>
              </w:rPr>
              <w:t>п</w:t>
            </w:r>
            <w:proofErr w:type="gramEnd"/>
            <w:r w:rsidRPr="002734F1">
              <w:rPr>
                <w:rFonts w:eastAsia="Times New Roman" w:cs="Times New Roman"/>
                <w:color w:val="000000"/>
                <w:sz w:val="18"/>
                <w:szCs w:val="18"/>
                <w:lang w:eastAsia="ru-RU"/>
              </w:rPr>
              <w:t>/п</w:t>
            </w:r>
          </w:p>
        </w:tc>
        <w:tc>
          <w:tcPr>
            <w:tcW w:w="2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Наименование товара</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Единица  измерения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Количество</w:t>
            </w:r>
          </w:p>
        </w:tc>
        <w:tc>
          <w:tcPr>
            <w:tcW w:w="2938" w:type="dxa"/>
            <w:gridSpan w:val="2"/>
            <w:tcBorders>
              <w:top w:val="single" w:sz="4" w:space="0" w:color="auto"/>
              <w:left w:val="nil"/>
              <w:bottom w:val="nil"/>
              <w:right w:val="single" w:sz="4" w:space="0" w:color="000000"/>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Цены для расчёта </w:t>
            </w:r>
            <w:proofErr w:type="spellStart"/>
            <w:r w:rsidRPr="002734F1">
              <w:rPr>
                <w:rFonts w:eastAsia="Times New Roman" w:cs="Times New Roman"/>
                <w:color w:val="000000"/>
                <w:sz w:val="18"/>
                <w:szCs w:val="18"/>
                <w:lang w:eastAsia="ru-RU"/>
              </w:rPr>
              <w:t>НМЦД</w:t>
            </w:r>
            <w:proofErr w:type="spellEnd"/>
            <w:r w:rsidRPr="002734F1">
              <w:rPr>
                <w:rFonts w:eastAsia="Times New Roman" w:cs="Times New Roman"/>
                <w:color w:val="000000"/>
                <w:sz w:val="18"/>
                <w:szCs w:val="18"/>
                <w:lang w:eastAsia="ru-RU"/>
              </w:rPr>
              <w:br/>
              <w:t>(определены по средней цене)</w:t>
            </w:r>
          </w:p>
        </w:tc>
        <w:tc>
          <w:tcPr>
            <w:tcW w:w="4449" w:type="dxa"/>
            <w:gridSpan w:val="3"/>
            <w:tcBorders>
              <w:top w:val="single" w:sz="4" w:space="0" w:color="auto"/>
              <w:left w:val="nil"/>
              <w:bottom w:val="single" w:sz="4" w:space="0" w:color="auto"/>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ценовой информации</w:t>
            </w:r>
          </w:p>
        </w:tc>
        <w:tc>
          <w:tcPr>
            <w:tcW w:w="2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Оценка однородности совокупности значений цен, используемых в расчете </w:t>
            </w:r>
            <w:proofErr w:type="spellStart"/>
            <w:r w:rsidRPr="002734F1">
              <w:rPr>
                <w:rFonts w:eastAsia="Times New Roman" w:cs="Times New Roman"/>
                <w:color w:val="000000"/>
                <w:sz w:val="18"/>
                <w:szCs w:val="18"/>
                <w:lang w:eastAsia="ru-RU"/>
              </w:rPr>
              <w:t>НМЦД</w:t>
            </w:r>
            <w:proofErr w:type="spellEnd"/>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1380"/>
        </w:trPr>
        <w:tc>
          <w:tcPr>
            <w:tcW w:w="511" w:type="dxa"/>
            <w:vMerge/>
            <w:tcBorders>
              <w:top w:val="single" w:sz="4" w:space="0" w:color="auto"/>
              <w:left w:val="single" w:sz="4" w:space="0" w:color="auto"/>
              <w:bottom w:val="single" w:sz="4" w:space="0" w:color="auto"/>
              <w:right w:val="single" w:sz="4" w:space="0" w:color="auto"/>
            </w:tcBorders>
            <w:vAlign w:val="center"/>
            <w:hideMark/>
          </w:tcPr>
          <w:p w:rsidR="002734F1" w:rsidRPr="002734F1" w:rsidRDefault="002734F1" w:rsidP="002734F1">
            <w:pPr>
              <w:rPr>
                <w:rFonts w:eastAsia="Times New Roman" w:cs="Times New Roman"/>
                <w:color w:val="000000"/>
                <w:sz w:val="18"/>
                <w:szCs w:val="18"/>
                <w:lang w:eastAsia="ru-RU"/>
              </w:rPr>
            </w:pP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2734F1" w:rsidRPr="002734F1" w:rsidRDefault="002734F1" w:rsidP="002734F1">
            <w:pPr>
              <w:rPr>
                <w:rFonts w:eastAsia="Times New Roman" w:cs="Times New Roman"/>
                <w:color w:val="000000"/>
                <w:sz w:val="18"/>
                <w:szCs w:val="18"/>
                <w:lang w:eastAsia="ru-RU"/>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2734F1" w:rsidRPr="002734F1" w:rsidRDefault="002734F1" w:rsidP="002734F1">
            <w:pPr>
              <w:rPr>
                <w:rFonts w:eastAsia="Times New Roman" w:cs="Times New Roman"/>
                <w:color w:val="000000"/>
                <w:sz w:val="18"/>
                <w:szCs w:val="18"/>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2734F1" w:rsidRPr="002734F1" w:rsidRDefault="002734F1" w:rsidP="002734F1">
            <w:pPr>
              <w:rPr>
                <w:rFonts w:eastAsia="Times New Roman" w:cs="Times New Roman"/>
                <w:color w:val="000000"/>
                <w:sz w:val="18"/>
                <w:szCs w:val="18"/>
                <w:lang w:eastAsia="ru-RU"/>
              </w:rPr>
            </w:pPr>
          </w:p>
        </w:tc>
        <w:tc>
          <w:tcPr>
            <w:tcW w:w="1461" w:type="dxa"/>
            <w:tcBorders>
              <w:top w:val="single" w:sz="4" w:space="0" w:color="auto"/>
              <w:left w:val="nil"/>
              <w:bottom w:val="nil"/>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Цена за единицу, руб.</w:t>
            </w:r>
          </w:p>
        </w:tc>
        <w:tc>
          <w:tcPr>
            <w:tcW w:w="1477"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r w:rsidRPr="002734F1">
              <w:rPr>
                <w:rFonts w:eastAsia="Times New Roman" w:cs="Times New Roman"/>
                <w:noProof/>
                <w:sz w:val="18"/>
                <w:szCs w:val="18"/>
                <w:lang w:eastAsia="ru-RU"/>
              </w:rPr>
              <w:drawing>
                <wp:anchor distT="0" distB="0" distL="114300" distR="114300" simplePos="0" relativeHeight="251658240" behindDoc="0" locked="0" layoutInCell="1" allowOverlap="1" wp14:anchorId="1AB29371" wp14:editId="4FCF0D6C">
                  <wp:simplePos x="0" y="0"/>
                  <wp:positionH relativeFrom="column">
                    <wp:posOffset>114300</wp:posOffset>
                  </wp:positionH>
                  <wp:positionV relativeFrom="paragraph">
                    <wp:posOffset>510540</wp:posOffset>
                  </wp:positionV>
                  <wp:extent cx="807720" cy="19812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94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56"/>
            </w:tblGrid>
            <w:tr w:rsidR="002734F1" w:rsidRPr="002734F1">
              <w:trPr>
                <w:trHeight w:val="1380"/>
                <w:tblCellSpacing w:w="0" w:type="dxa"/>
              </w:trPr>
              <w:tc>
                <w:tcPr>
                  <w:tcW w:w="1680" w:type="dxa"/>
                  <w:tcBorders>
                    <w:top w:val="single" w:sz="4" w:space="0" w:color="auto"/>
                    <w:left w:val="nil"/>
                    <w:bottom w:val="single" w:sz="4" w:space="0" w:color="auto"/>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Сумма, руб.</w:t>
                  </w:r>
                </w:p>
              </w:tc>
            </w:tr>
          </w:tbl>
          <w:p w:rsidR="002734F1" w:rsidRPr="002734F1" w:rsidRDefault="002734F1" w:rsidP="002734F1">
            <w:pPr>
              <w:rPr>
                <w:rFonts w:eastAsia="Times New Roman" w:cs="Times New Roman"/>
                <w:sz w:val="18"/>
                <w:szCs w:val="18"/>
                <w:lang w:eastAsia="ru-RU"/>
              </w:rPr>
            </w:pPr>
          </w:p>
        </w:tc>
        <w:tc>
          <w:tcPr>
            <w:tcW w:w="1481" w:type="dxa"/>
            <w:tcBorders>
              <w:top w:val="nil"/>
              <w:left w:val="nil"/>
              <w:bottom w:val="nil"/>
              <w:right w:val="single" w:sz="4" w:space="0" w:color="auto"/>
            </w:tcBorders>
            <w:shd w:val="clear" w:color="auto" w:fill="auto"/>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Источник №1</w:t>
            </w:r>
          </w:p>
        </w:tc>
        <w:tc>
          <w:tcPr>
            <w:tcW w:w="1484" w:type="dxa"/>
            <w:tcBorders>
              <w:top w:val="nil"/>
              <w:left w:val="nil"/>
              <w:bottom w:val="nil"/>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№2</w:t>
            </w:r>
          </w:p>
        </w:tc>
        <w:tc>
          <w:tcPr>
            <w:tcW w:w="1484" w:type="dxa"/>
            <w:tcBorders>
              <w:top w:val="nil"/>
              <w:left w:val="nil"/>
              <w:bottom w:val="nil"/>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№3</w:t>
            </w:r>
          </w:p>
        </w:tc>
        <w:tc>
          <w:tcPr>
            <w:tcW w:w="1461" w:type="dxa"/>
            <w:tcBorders>
              <w:top w:val="nil"/>
              <w:left w:val="nil"/>
              <w:bottom w:val="single" w:sz="4" w:space="0" w:color="auto"/>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Средняя </w:t>
            </w:r>
            <w:proofErr w:type="spellStart"/>
            <w:r w:rsidRPr="002734F1">
              <w:rPr>
                <w:rFonts w:eastAsia="Times New Roman" w:cs="Times New Roman"/>
                <w:color w:val="000000"/>
                <w:sz w:val="18"/>
                <w:szCs w:val="18"/>
                <w:lang w:eastAsia="ru-RU"/>
              </w:rPr>
              <w:t>арифм</w:t>
            </w:r>
            <w:proofErr w:type="spellEnd"/>
            <w:r w:rsidRPr="002734F1">
              <w:rPr>
                <w:rFonts w:eastAsia="Times New Roman" w:cs="Times New Roman"/>
                <w:color w:val="000000"/>
                <w:sz w:val="18"/>
                <w:szCs w:val="18"/>
                <w:lang w:eastAsia="ru-RU"/>
              </w:rPr>
              <w:t>. цена за единицу, руб.</w:t>
            </w:r>
          </w:p>
        </w:tc>
        <w:tc>
          <w:tcPr>
            <w:tcW w:w="1420"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r w:rsidRPr="002734F1">
              <w:rPr>
                <w:rFonts w:eastAsia="Times New Roman" w:cs="Times New Roman"/>
                <w:noProof/>
                <w:sz w:val="18"/>
                <w:szCs w:val="18"/>
                <w:lang w:eastAsia="ru-RU"/>
              </w:rPr>
              <w:drawing>
                <wp:anchor distT="0" distB="0" distL="114300" distR="114300" simplePos="0" relativeHeight="251658240" behindDoc="0" locked="0" layoutInCell="1" allowOverlap="1" wp14:anchorId="5542CAFD" wp14:editId="7E72352E">
                  <wp:simplePos x="0" y="0"/>
                  <wp:positionH relativeFrom="column">
                    <wp:posOffset>144780</wp:posOffset>
                  </wp:positionH>
                  <wp:positionV relativeFrom="paragraph">
                    <wp:posOffset>579120</wp:posOffset>
                  </wp:positionV>
                  <wp:extent cx="563880" cy="281940"/>
                  <wp:effectExtent l="0" t="0" r="7620" b="3810"/>
                  <wp:wrapNone/>
                  <wp:docPr id="4" name="Рисунок 4"/>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123"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99"/>
            </w:tblGrid>
            <w:tr w:rsidR="002734F1" w:rsidRPr="002734F1">
              <w:trPr>
                <w:trHeight w:val="1380"/>
                <w:tblCellSpacing w:w="0" w:type="dxa"/>
              </w:trPr>
              <w:tc>
                <w:tcPr>
                  <w:tcW w:w="1420" w:type="dxa"/>
                  <w:tcBorders>
                    <w:top w:val="nil"/>
                    <w:left w:val="nil"/>
                    <w:bottom w:val="single" w:sz="4" w:space="0" w:color="auto"/>
                    <w:right w:val="single" w:sz="4" w:space="0" w:color="auto"/>
                  </w:tcBorders>
                  <w:shd w:val="clear" w:color="auto" w:fill="auto"/>
                  <w:hideMark/>
                </w:tcPr>
                <w:p w:rsidR="002734F1" w:rsidRPr="002734F1" w:rsidRDefault="002734F1" w:rsidP="002734F1">
                  <w:pPr>
                    <w:jc w:val="center"/>
                    <w:rPr>
                      <w:rFonts w:eastAsia="Times New Roman" w:cs="Times New Roman"/>
                      <w:color w:val="000000"/>
                      <w:sz w:val="18"/>
                      <w:szCs w:val="18"/>
                      <w:lang w:eastAsia="ru-RU"/>
                    </w:rPr>
                  </w:pPr>
                  <w:proofErr w:type="spellStart"/>
                  <w:r w:rsidRPr="002734F1">
                    <w:rPr>
                      <w:rFonts w:eastAsia="Times New Roman" w:cs="Times New Roman"/>
                      <w:color w:val="000000"/>
                      <w:sz w:val="18"/>
                      <w:szCs w:val="18"/>
                      <w:lang w:eastAsia="ru-RU"/>
                    </w:rPr>
                    <w:t>коэф</w:t>
                  </w:r>
                  <w:proofErr w:type="spellEnd"/>
                  <w:r w:rsidRPr="002734F1">
                    <w:rPr>
                      <w:rFonts w:eastAsia="Times New Roman" w:cs="Times New Roman"/>
                      <w:color w:val="000000"/>
                      <w:sz w:val="18"/>
                      <w:szCs w:val="18"/>
                      <w:lang w:eastAsia="ru-RU"/>
                    </w:rPr>
                    <w:t xml:space="preserve">. вариации цен V (%)           </w:t>
                  </w:r>
                  <w:r w:rsidRPr="002734F1">
                    <w:rPr>
                      <w:rFonts w:eastAsia="Times New Roman" w:cs="Times New Roman"/>
                      <w:i/>
                      <w:iCs/>
                      <w:color w:val="000000"/>
                      <w:sz w:val="18"/>
                      <w:szCs w:val="18"/>
                      <w:lang w:eastAsia="ru-RU"/>
                    </w:rPr>
                    <w:t xml:space="preserve">         </w:t>
                  </w:r>
                </w:p>
              </w:tc>
            </w:tr>
          </w:tbl>
          <w:p w:rsidR="002734F1" w:rsidRPr="002734F1" w:rsidRDefault="002734F1" w:rsidP="002734F1">
            <w:pPr>
              <w:rPr>
                <w:rFonts w:eastAsia="Times New Roman" w:cs="Times New Roman"/>
                <w:sz w:val="18"/>
                <w:szCs w:val="18"/>
                <w:lang w:eastAsia="ru-RU"/>
              </w:rPr>
            </w:pP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630"/>
        </w:trPr>
        <w:tc>
          <w:tcPr>
            <w:tcW w:w="511" w:type="dxa"/>
            <w:tcBorders>
              <w:top w:val="nil"/>
              <w:left w:val="single" w:sz="4" w:space="0" w:color="auto"/>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1</w:t>
            </w:r>
          </w:p>
        </w:tc>
        <w:tc>
          <w:tcPr>
            <w:tcW w:w="2608" w:type="dxa"/>
            <w:tcBorders>
              <w:top w:val="nil"/>
              <w:left w:val="nil"/>
              <w:bottom w:val="nil"/>
              <w:right w:val="single" w:sz="4" w:space="0" w:color="auto"/>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Перчатки с полимерным покрытием</w:t>
            </w:r>
          </w:p>
        </w:tc>
        <w:tc>
          <w:tcPr>
            <w:tcW w:w="903" w:type="dxa"/>
            <w:tcBorders>
              <w:top w:val="nil"/>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пар</w:t>
            </w:r>
          </w:p>
        </w:tc>
        <w:tc>
          <w:tcPr>
            <w:tcW w:w="1262" w:type="dxa"/>
            <w:tcBorders>
              <w:top w:val="nil"/>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590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proofErr w:type="spellStart"/>
            <w:r w:rsidRPr="002734F1">
              <w:rPr>
                <w:rFonts w:eastAsia="Times New Roman" w:cs="Times New Roman"/>
                <w:sz w:val="18"/>
                <w:szCs w:val="18"/>
                <w:lang w:eastAsia="ru-RU"/>
              </w:rPr>
              <w:t>42,27р</w:t>
            </w:r>
            <w:proofErr w:type="spellEnd"/>
            <w:r w:rsidRPr="002734F1">
              <w:rPr>
                <w:rFonts w:eastAsia="Times New Roman" w:cs="Times New Roman"/>
                <w:sz w:val="18"/>
                <w:szCs w:val="18"/>
                <w:lang w:eastAsia="ru-RU"/>
              </w:rPr>
              <w:t>.</w:t>
            </w:r>
          </w:p>
        </w:tc>
        <w:tc>
          <w:tcPr>
            <w:tcW w:w="1477"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24 939,30</w:t>
            </w:r>
            <w:bookmarkStart w:id="0" w:name="_GoBack"/>
            <w:bookmarkEnd w:id="0"/>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39,90</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41,00</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45,90</w:t>
            </w:r>
          </w:p>
        </w:tc>
        <w:tc>
          <w:tcPr>
            <w:tcW w:w="146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42,27 </w:t>
            </w:r>
          </w:p>
        </w:tc>
        <w:tc>
          <w:tcPr>
            <w:tcW w:w="1420" w:type="dxa"/>
            <w:tcBorders>
              <w:top w:val="nil"/>
              <w:left w:val="nil"/>
              <w:bottom w:val="single" w:sz="4" w:space="0" w:color="auto"/>
              <w:right w:val="single" w:sz="4" w:space="0" w:color="auto"/>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7,56%</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630"/>
        </w:trPr>
        <w:tc>
          <w:tcPr>
            <w:tcW w:w="511" w:type="dxa"/>
            <w:tcBorders>
              <w:top w:val="single" w:sz="4" w:space="0" w:color="auto"/>
              <w:left w:val="single" w:sz="4" w:space="0" w:color="auto"/>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2</w:t>
            </w:r>
          </w:p>
        </w:tc>
        <w:tc>
          <w:tcPr>
            <w:tcW w:w="2608"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Перчатки резиновые или из полимерных материалов</w:t>
            </w:r>
          </w:p>
        </w:tc>
        <w:tc>
          <w:tcPr>
            <w:tcW w:w="903"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пар</w:t>
            </w:r>
          </w:p>
        </w:tc>
        <w:tc>
          <w:tcPr>
            <w:tcW w:w="1262"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7 785</w:t>
            </w:r>
          </w:p>
        </w:tc>
        <w:tc>
          <w:tcPr>
            <w:tcW w:w="146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proofErr w:type="spellStart"/>
            <w:r w:rsidRPr="002734F1">
              <w:rPr>
                <w:rFonts w:eastAsia="Times New Roman" w:cs="Times New Roman"/>
                <w:sz w:val="18"/>
                <w:szCs w:val="18"/>
                <w:lang w:eastAsia="ru-RU"/>
              </w:rPr>
              <w:t>52,67р</w:t>
            </w:r>
            <w:proofErr w:type="spellEnd"/>
            <w:r w:rsidRPr="002734F1">
              <w:rPr>
                <w:rFonts w:eastAsia="Times New Roman" w:cs="Times New Roman"/>
                <w:sz w:val="18"/>
                <w:szCs w:val="18"/>
                <w:lang w:eastAsia="ru-RU"/>
              </w:rPr>
              <w:t>.</w:t>
            </w:r>
          </w:p>
        </w:tc>
        <w:tc>
          <w:tcPr>
            <w:tcW w:w="1477"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410 035,95</w:t>
            </w:r>
          </w:p>
        </w:tc>
        <w:tc>
          <w:tcPr>
            <w:tcW w:w="148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49,02</w:t>
            </w:r>
          </w:p>
        </w:tc>
        <w:tc>
          <w:tcPr>
            <w:tcW w:w="1484"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54,00</w:t>
            </w:r>
          </w:p>
        </w:tc>
        <w:tc>
          <w:tcPr>
            <w:tcW w:w="1484"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55,00</w:t>
            </w:r>
          </w:p>
        </w:tc>
        <w:tc>
          <w:tcPr>
            <w:tcW w:w="146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52,67 </w:t>
            </w:r>
          </w:p>
        </w:tc>
        <w:tc>
          <w:tcPr>
            <w:tcW w:w="1420" w:type="dxa"/>
            <w:tcBorders>
              <w:top w:val="nil"/>
              <w:left w:val="nil"/>
              <w:bottom w:val="single" w:sz="4" w:space="0" w:color="auto"/>
              <w:right w:val="single" w:sz="4" w:space="0" w:color="auto"/>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6,08%</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600"/>
        </w:trPr>
        <w:tc>
          <w:tcPr>
            <w:tcW w:w="511" w:type="dxa"/>
            <w:tcBorders>
              <w:top w:val="single" w:sz="4" w:space="0" w:color="auto"/>
              <w:left w:val="single" w:sz="4" w:space="0" w:color="auto"/>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3</w:t>
            </w:r>
          </w:p>
        </w:tc>
        <w:tc>
          <w:tcPr>
            <w:tcW w:w="2608"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Перчатки резиновые или из полимерных материалов</w:t>
            </w:r>
          </w:p>
        </w:tc>
        <w:tc>
          <w:tcPr>
            <w:tcW w:w="903"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пар</w:t>
            </w:r>
          </w:p>
        </w:tc>
        <w:tc>
          <w:tcPr>
            <w:tcW w:w="1262" w:type="dxa"/>
            <w:tcBorders>
              <w:top w:val="single" w:sz="4" w:space="0" w:color="auto"/>
              <w:left w:val="nil"/>
              <w:bottom w:val="nil"/>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7 785</w:t>
            </w:r>
          </w:p>
        </w:tc>
        <w:tc>
          <w:tcPr>
            <w:tcW w:w="146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proofErr w:type="spellStart"/>
            <w:r w:rsidRPr="002734F1">
              <w:rPr>
                <w:rFonts w:eastAsia="Times New Roman" w:cs="Times New Roman"/>
                <w:sz w:val="18"/>
                <w:szCs w:val="18"/>
                <w:lang w:eastAsia="ru-RU"/>
              </w:rPr>
              <w:t>53,01р</w:t>
            </w:r>
            <w:proofErr w:type="spellEnd"/>
            <w:r w:rsidRPr="002734F1">
              <w:rPr>
                <w:rFonts w:eastAsia="Times New Roman" w:cs="Times New Roman"/>
                <w:sz w:val="18"/>
                <w:szCs w:val="18"/>
                <w:lang w:eastAsia="ru-RU"/>
              </w:rPr>
              <w:t>.</w:t>
            </w:r>
          </w:p>
        </w:tc>
        <w:tc>
          <w:tcPr>
            <w:tcW w:w="1477"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412 682,85</w:t>
            </w:r>
          </w:p>
        </w:tc>
        <w:tc>
          <w:tcPr>
            <w:tcW w:w="148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49,02</w:t>
            </w:r>
          </w:p>
        </w:tc>
        <w:tc>
          <w:tcPr>
            <w:tcW w:w="1484"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54,00</w:t>
            </w:r>
          </w:p>
        </w:tc>
        <w:tc>
          <w:tcPr>
            <w:tcW w:w="1484"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56,00</w:t>
            </w:r>
          </w:p>
        </w:tc>
        <w:tc>
          <w:tcPr>
            <w:tcW w:w="1461"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53,01 </w:t>
            </w:r>
          </w:p>
        </w:tc>
        <w:tc>
          <w:tcPr>
            <w:tcW w:w="1420" w:type="dxa"/>
            <w:tcBorders>
              <w:top w:val="nil"/>
              <w:left w:val="nil"/>
              <w:bottom w:val="single" w:sz="4" w:space="0" w:color="auto"/>
              <w:right w:val="single" w:sz="4" w:space="0" w:color="auto"/>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6,78%</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312"/>
        </w:trPr>
        <w:tc>
          <w:tcPr>
            <w:tcW w:w="67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734F1" w:rsidRPr="002734F1" w:rsidRDefault="002734F1" w:rsidP="002734F1">
            <w:pPr>
              <w:jc w:val="center"/>
              <w:rPr>
                <w:rFonts w:eastAsia="Times New Roman" w:cs="Times New Roman"/>
                <w:b/>
                <w:bCs/>
                <w:color w:val="000000"/>
                <w:sz w:val="18"/>
                <w:szCs w:val="18"/>
                <w:lang w:eastAsia="ru-RU"/>
              </w:rPr>
            </w:pPr>
            <w:r w:rsidRPr="002734F1">
              <w:rPr>
                <w:rFonts w:eastAsia="Times New Roman" w:cs="Times New Roman"/>
                <w:b/>
                <w:bCs/>
                <w:color w:val="000000"/>
                <w:sz w:val="18"/>
                <w:szCs w:val="18"/>
                <w:lang w:eastAsia="ru-RU"/>
              </w:rPr>
              <w:t>Начальная (максимальная) цена договора</w:t>
            </w:r>
          </w:p>
        </w:tc>
        <w:tc>
          <w:tcPr>
            <w:tcW w:w="1477" w:type="dxa"/>
            <w:tcBorders>
              <w:top w:val="nil"/>
              <w:left w:val="nil"/>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b/>
                <w:bCs/>
                <w:color w:val="000000"/>
                <w:sz w:val="18"/>
                <w:szCs w:val="18"/>
                <w:lang w:eastAsia="ru-RU"/>
              </w:rPr>
            </w:pPr>
            <w:r w:rsidRPr="002734F1">
              <w:rPr>
                <w:rFonts w:eastAsia="Times New Roman" w:cs="Times New Roman"/>
                <w:b/>
                <w:bCs/>
                <w:color w:val="000000"/>
                <w:sz w:val="18"/>
                <w:szCs w:val="18"/>
                <w:lang w:eastAsia="ru-RU"/>
              </w:rPr>
              <w:t xml:space="preserve">847 658,10 </w:t>
            </w:r>
          </w:p>
        </w:tc>
        <w:tc>
          <w:tcPr>
            <w:tcW w:w="148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sz w:val="18"/>
                <w:szCs w:val="18"/>
                <w:lang w:eastAsia="ru-RU"/>
              </w:rPr>
            </w:pPr>
            <w:r w:rsidRPr="002734F1">
              <w:rPr>
                <w:rFonts w:eastAsia="Times New Roman" w:cs="Times New Roman"/>
                <w:b/>
                <w:bCs/>
                <w:sz w:val="18"/>
                <w:szCs w:val="18"/>
                <w:lang w:eastAsia="ru-RU"/>
              </w:rPr>
              <w:t> </w:t>
            </w: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r w:rsidRPr="002734F1">
              <w:rPr>
                <w:rFonts w:eastAsia="Times New Roman" w:cs="Times New Roman"/>
                <w:b/>
                <w:bCs/>
                <w:color w:val="000000"/>
                <w:sz w:val="18"/>
                <w:szCs w:val="18"/>
                <w:lang w:eastAsia="ru-RU"/>
              </w:rPr>
              <w:t> </w:t>
            </w: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r w:rsidRPr="002734F1">
              <w:rPr>
                <w:rFonts w:eastAsia="Times New Roman" w:cs="Times New Roman"/>
                <w:b/>
                <w:bCs/>
                <w:color w:val="000000"/>
                <w:sz w:val="18"/>
                <w:szCs w:val="18"/>
                <w:lang w:eastAsia="ru-RU"/>
              </w:rPr>
              <w:t> </w:t>
            </w:r>
          </w:p>
        </w:tc>
        <w:tc>
          <w:tcPr>
            <w:tcW w:w="1461"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w:t>
            </w:r>
          </w:p>
        </w:tc>
        <w:tc>
          <w:tcPr>
            <w:tcW w:w="1420" w:type="dxa"/>
            <w:tcBorders>
              <w:top w:val="nil"/>
              <w:left w:val="nil"/>
              <w:bottom w:val="nil"/>
              <w:right w:val="nil"/>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312"/>
        </w:trPr>
        <w:tc>
          <w:tcPr>
            <w:tcW w:w="6745" w:type="dxa"/>
            <w:gridSpan w:val="5"/>
            <w:tcBorders>
              <w:top w:val="single" w:sz="4" w:space="0" w:color="auto"/>
              <w:left w:val="single" w:sz="4" w:space="0" w:color="auto"/>
              <w:bottom w:val="single" w:sz="4" w:space="0" w:color="auto"/>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Дата подготовки обоснования </w:t>
            </w:r>
            <w:proofErr w:type="spellStart"/>
            <w:r w:rsidRPr="002734F1">
              <w:rPr>
                <w:rFonts w:eastAsia="Times New Roman" w:cs="Times New Roman"/>
                <w:color w:val="000000"/>
                <w:sz w:val="18"/>
                <w:szCs w:val="18"/>
                <w:lang w:eastAsia="ru-RU"/>
              </w:rPr>
              <w:t>НМЦД</w:t>
            </w:r>
            <w:proofErr w:type="spellEnd"/>
          </w:p>
        </w:tc>
        <w:tc>
          <w:tcPr>
            <w:tcW w:w="1477" w:type="dxa"/>
            <w:tcBorders>
              <w:top w:val="nil"/>
              <w:left w:val="single" w:sz="4" w:space="0" w:color="auto"/>
              <w:bottom w:val="single" w:sz="4" w:space="0" w:color="auto"/>
              <w:right w:val="single" w:sz="4" w:space="0" w:color="auto"/>
            </w:tcBorders>
            <w:shd w:val="clear" w:color="auto" w:fill="auto"/>
            <w:vAlign w:val="center"/>
            <w:hideMark/>
          </w:tcPr>
          <w:p w:rsidR="002734F1" w:rsidRPr="002734F1" w:rsidRDefault="002734F1" w:rsidP="002734F1">
            <w:pPr>
              <w:jc w:val="center"/>
              <w:rPr>
                <w:rFonts w:eastAsia="Times New Roman" w:cs="Times New Roman"/>
                <w:sz w:val="18"/>
                <w:szCs w:val="18"/>
                <w:lang w:eastAsia="ru-RU"/>
              </w:rPr>
            </w:pPr>
            <w:r w:rsidRPr="002734F1">
              <w:rPr>
                <w:rFonts w:eastAsia="Times New Roman" w:cs="Times New Roman"/>
                <w:sz w:val="18"/>
                <w:szCs w:val="18"/>
                <w:lang w:eastAsia="ru-RU"/>
              </w:rPr>
              <w:t>03.06.2025</w:t>
            </w:r>
          </w:p>
        </w:tc>
        <w:tc>
          <w:tcPr>
            <w:tcW w:w="148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20" w:type="dxa"/>
            <w:tcBorders>
              <w:top w:val="nil"/>
              <w:left w:val="nil"/>
              <w:bottom w:val="nil"/>
              <w:right w:val="nil"/>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4672" w:type="dxa"/>
            <w:gridSpan w:val="2"/>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b/>
                <w:bCs/>
                <w:color w:val="000000"/>
                <w:sz w:val="18"/>
                <w:szCs w:val="18"/>
                <w:lang w:eastAsia="ru-RU"/>
              </w:rPr>
            </w:pPr>
          </w:p>
        </w:tc>
      </w:tr>
      <w:tr w:rsidR="002734F1" w:rsidRPr="002734F1" w:rsidTr="002734F1">
        <w:trPr>
          <w:trHeight w:val="165"/>
        </w:trPr>
        <w:tc>
          <w:tcPr>
            <w:tcW w:w="511"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2608"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903"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262"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77"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8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b/>
                <w:bCs/>
                <w:color w:val="000000"/>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20" w:type="dxa"/>
            <w:tcBorders>
              <w:top w:val="nil"/>
              <w:left w:val="nil"/>
              <w:bottom w:val="nil"/>
              <w:right w:val="nil"/>
            </w:tcBorders>
            <w:shd w:val="clear" w:color="auto" w:fill="auto"/>
            <w:noWrap/>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2319"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b/>
                <w:bCs/>
                <w:color w:val="000000"/>
                <w:sz w:val="18"/>
                <w:szCs w:val="18"/>
                <w:lang w:eastAsia="ru-RU"/>
              </w:rPr>
            </w:pPr>
          </w:p>
        </w:tc>
        <w:tc>
          <w:tcPr>
            <w:tcW w:w="2353"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b/>
                <w:bCs/>
                <w:color w:val="000000"/>
                <w:sz w:val="18"/>
                <w:szCs w:val="18"/>
                <w:lang w:eastAsia="ru-RU"/>
              </w:rPr>
            </w:pPr>
          </w:p>
        </w:tc>
      </w:tr>
      <w:tr w:rsidR="002734F1" w:rsidRPr="002734F1" w:rsidTr="002734F1">
        <w:trPr>
          <w:trHeight w:val="312"/>
        </w:trPr>
        <w:tc>
          <w:tcPr>
            <w:tcW w:w="20224" w:type="dxa"/>
            <w:gridSpan w:val="13"/>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 Коэффициент вариации не превышает 33%, что свидетельствует об однородности совокупности значений, используемых в расчете.</w:t>
            </w:r>
          </w:p>
        </w:tc>
      </w:tr>
      <w:tr w:rsidR="002734F1" w:rsidRPr="002734F1" w:rsidTr="002734F1">
        <w:trPr>
          <w:trHeight w:val="120"/>
        </w:trPr>
        <w:tc>
          <w:tcPr>
            <w:tcW w:w="51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2608"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903"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262" w:type="dxa"/>
            <w:tcBorders>
              <w:top w:val="nil"/>
              <w:left w:val="nil"/>
              <w:bottom w:val="nil"/>
              <w:right w:val="nil"/>
            </w:tcBorders>
            <w:shd w:val="clear" w:color="auto" w:fill="auto"/>
            <w:vAlign w:val="center"/>
            <w:hideMark/>
          </w:tcPr>
          <w:p w:rsidR="002734F1" w:rsidRPr="002734F1" w:rsidRDefault="002734F1" w:rsidP="002734F1">
            <w:pPr>
              <w:jc w:val="center"/>
              <w:rPr>
                <w:rFonts w:eastAsia="Times New Roman" w:cs="Times New Roman"/>
                <w:color w:val="000000"/>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1477"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148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1484"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1461"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1420"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2319"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vAlign w:val="center"/>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285"/>
        </w:trPr>
        <w:tc>
          <w:tcPr>
            <w:tcW w:w="511"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608" w:type="dxa"/>
            <w:tcBorders>
              <w:top w:val="nil"/>
              <w:left w:val="nil"/>
              <w:bottom w:val="nil"/>
              <w:right w:val="nil"/>
            </w:tcBorders>
            <w:shd w:val="clear" w:color="auto" w:fill="auto"/>
            <w:noWrap/>
            <w:vAlign w:val="bottom"/>
            <w:hideMark/>
          </w:tcPr>
          <w:p w:rsidR="002734F1" w:rsidRPr="002734F1" w:rsidRDefault="002734F1" w:rsidP="002734F1">
            <w:pPr>
              <w:jc w:val="right"/>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№1</w:t>
            </w:r>
          </w:p>
        </w:tc>
        <w:tc>
          <w:tcPr>
            <w:tcW w:w="12433" w:type="dxa"/>
            <w:gridSpan w:val="9"/>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КП № 0064926 от 02.06.2025</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330"/>
        </w:trPr>
        <w:tc>
          <w:tcPr>
            <w:tcW w:w="511"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608" w:type="dxa"/>
            <w:tcBorders>
              <w:top w:val="nil"/>
              <w:left w:val="nil"/>
              <w:bottom w:val="nil"/>
              <w:right w:val="nil"/>
            </w:tcBorders>
            <w:shd w:val="clear" w:color="auto" w:fill="auto"/>
            <w:noWrap/>
            <w:vAlign w:val="bottom"/>
            <w:hideMark/>
          </w:tcPr>
          <w:p w:rsidR="002734F1" w:rsidRPr="002734F1" w:rsidRDefault="002734F1" w:rsidP="002734F1">
            <w:pPr>
              <w:jc w:val="right"/>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№2</w:t>
            </w:r>
          </w:p>
        </w:tc>
        <w:tc>
          <w:tcPr>
            <w:tcW w:w="5103" w:type="dxa"/>
            <w:gridSpan w:val="4"/>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sz w:val="18"/>
                <w:szCs w:val="18"/>
                <w:lang w:eastAsia="ru-RU"/>
              </w:rPr>
            </w:pPr>
            <w:r w:rsidRPr="002734F1">
              <w:rPr>
                <w:rFonts w:eastAsia="Times New Roman" w:cs="Times New Roman"/>
                <w:sz w:val="18"/>
                <w:szCs w:val="18"/>
                <w:lang w:eastAsia="ru-RU"/>
              </w:rPr>
              <w:t xml:space="preserve">Интернет магазин </w:t>
            </w:r>
            <w:proofErr w:type="spellStart"/>
            <w:r w:rsidRPr="002734F1">
              <w:rPr>
                <w:rFonts w:eastAsia="Times New Roman" w:cs="Times New Roman"/>
                <w:sz w:val="18"/>
                <w:szCs w:val="18"/>
                <w:lang w:eastAsia="ru-RU"/>
              </w:rPr>
              <w:t>https</w:t>
            </w:r>
            <w:proofErr w:type="spellEnd"/>
            <w:r w:rsidRPr="002734F1">
              <w:rPr>
                <w:rFonts w:eastAsia="Times New Roman" w:cs="Times New Roman"/>
                <w:sz w:val="18"/>
                <w:szCs w:val="18"/>
                <w:lang w:eastAsia="ru-RU"/>
              </w:rPr>
              <w:t>://</w:t>
            </w:r>
            <w:proofErr w:type="spellStart"/>
            <w:r w:rsidRPr="002734F1">
              <w:rPr>
                <w:rFonts w:eastAsia="Times New Roman" w:cs="Times New Roman"/>
                <w:sz w:val="18"/>
                <w:szCs w:val="18"/>
                <w:lang w:eastAsia="ru-RU"/>
              </w:rPr>
              <w:t>www.vseinstrumenti.ru</w:t>
            </w:r>
            <w:proofErr w:type="spellEnd"/>
            <w:r w:rsidRPr="002734F1">
              <w:rPr>
                <w:rFonts w:eastAsia="Times New Roman" w:cs="Times New Roman"/>
                <w:sz w:val="18"/>
                <w:szCs w:val="18"/>
                <w:lang w:eastAsia="ru-RU"/>
              </w:rPr>
              <w:t>/</w:t>
            </w:r>
          </w:p>
        </w:tc>
        <w:tc>
          <w:tcPr>
            <w:tcW w:w="1481"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1484"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1484"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1461"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1420"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r w:rsidR="002734F1" w:rsidRPr="002734F1" w:rsidTr="002734F1">
        <w:trPr>
          <w:trHeight w:val="315"/>
        </w:trPr>
        <w:tc>
          <w:tcPr>
            <w:tcW w:w="511"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c>
          <w:tcPr>
            <w:tcW w:w="2608" w:type="dxa"/>
            <w:tcBorders>
              <w:top w:val="nil"/>
              <w:left w:val="nil"/>
              <w:bottom w:val="nil"/>
              <w:right w:val="nil"/>
            </w:tcBorders>
            <w:shd w:val="clear" w:color="auto" w:fill="auto"/>
            <w:noWrap/>
            <w:vAlign w:val="bottom"/>
            <w:hideMark/>
          </w:tcPr>
          <w:p w:rsidR="002734F1" w:rsidRPr="002734F1" w:rsidRDefault="002734F1" w:rsidP="002734F1">
            <w:pPr>
              <w:jc w:val="right"/>
              <w:rPr>
                <w:rFonts w:eastAsia="Times New Roman" w:cs="Times New Roman"/>
                <w:color w:val="000000"/>
                <w:sz w:val="18"/>
                <w:szCs w:val="18"/>
                <w:lang w:eastAsia="ru-RU"/>
              </w:rPr>
            </w:pPr>
            <w:r w:rsidRPr="002734F1">
              <w:rPr>
                <w:rFonts w:eastAsia="Times New Roman" w:cs="Times New Roman"/>
                <w:color w:val="000000"/>
                <w:sz w:val="18"/>
                <w:szCs w:val="18"/>
                <w:lang w:eastAsia="ru-RU"/>
              </w:rPr>
              <w:t>Источник №3</w:t>
            </w:r>
          </w:p>
        </w:tc>
        <w:tc>
          <w:tcPr>
            <w:tcW w:w="12433" w:type="dxa"/>
            <w:gridSpan w:val="9"/>
            <w:tcBorders>
              <w:top w:val="nil"/>
              <w:left w:val="nil"/>
              <w:bottom w:val="nil"/>
              <w:right w:val="nil"/>
            </w:tcBorders>
            <w:shd w:val="clear" w:color="auto" w:fill="auto"/>
            <w:vAlign w:val="bottom"/>
            <w:hideMark/>
          </w:tcPr>
          <w:p w:rsidR="002734F1" w:rsidRPr="002734F1" w:rsidRDefault="002734F1" w:rsidP="002734F1">
            <w:pPr>
              <w:rPr>
                <w:rFonts w:eastAsia="Times New Roman" w:cs="Times New Roman"/>
                <w:color w:val="000000"/>
                <w:sz w:val="18"/>
                <w:szCs w:val="18"/>
                <w:lang w:eastAsia="ru-RU"/>
              </w:rPr>
            </w:pPr>
            <w:r w:rsidRPr="002734F1">
              <w:rPr>
                <w:rFonts w:eastAsia="Times New Roman" w:cs="Times New Roman"/>
                <w:color w:val="000000"/>
                <w:sz w:val="18"/>
                <w:szCs w:val="18"/>
                <w:lang w:eastAsia="ru-RU"/>
              </w:rPr>
              <w:t xml:space="preserve">Интернет магазин </w:t>
            </w:r>
            <w:proofErr w:type="spellStart"/>
            <w:r w:rsidRPr="002734F1">
              <w:rPr>
                <w:rFonts w:eastAsia="Times New Roman" w:cs="Times New Roman"/>
                <w:color w:val="000000"/>
                <w:sz w:val="18"/>
                <w:szCs w:val="18"/>
                <w:lang w:eastAsia="ru-RU"/>
              </w:rPr>
              <w:t>https</w:t>
            </w:r>
            <w:proofErr w:type="spellEnd"/>
            <w:r w:rsidRPr="002734F1">
              <w:rPr>
                <w:rFonts w:eastAsia="Times New Roman" w:cs="Times New Roman"/>
                <w:color w:val="000000"/>
                <w:sz w:val="18"/>
                <w:szCs w:val="18"/>
                <w:lang w:eastAsia="ru-RU"/>
              </w:rPr>
              <w:t>://</w:t>
            </w:r>
            <w:proofErr w:type="spellStart"/>
            <w:r w:rsidRPr="002734F1">
              <w:rPr>
                <w:rFonts w:eastAsia="Times New Roman" w:cs="Times New Roman"/>
                <w:color w:val="000000"/>
                <w:sz w:val="18"/>
                <w:szCs w:val="18"/>
                <w:lang w:eastAsia="ru-RU"/>
              </w:rPr>
              <w:t>www.komus.ru</w:t>
            </w:r>
            <w:proofErr w:type="spellEnd"/>
            <w:r w:rsidRPr="002734F1">
              <w:rPr>
                <w:rFonts w:eastAsia="Times New Roman" w:cs="Times New Roman"/>
                <w:color w:val="000000"/>
                <w:sz w:val="18"/>
                <w:szCs w:val="18"/>
                <w:lang w:eastAsia="ru-RU"/>
              </w:rPr>
              <w:t>/</w:t>
            </w:r>
          </w:p>
        </w:tc>
        <w:tc>
          <w:tcPr>
            <w:tcW w:w="2319"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FF0000"/>
                <w:sz w:val="18"/>
                <w:szCs w:val="18"/>
                <w:lang w:eastAsia="ru-RU"/>
              </w:rPr>
            </w:pPr>
          </w:p>
        </w:tc>
        <w:tc>
          <w:tcPr>
            <w:tcW w:w="2353" w:type="dxa"/>
            <w:tcBorders>
              <w:top w:val="nil"/>
              <w:left w:val="nil"/>
              <w:bottom w:val="nil"/>
              <w:right w:val="nil"/>
            </w:tcBorders>
            <w:shd w:val="clear" w:color="auto" w:fill="auto"/>
            <w:noWrap/>
            <w:vAlign w:val="bottom"/>
            <w:hideMark/>
          </w:tcPr>
          <w:p w:rsidR="002734F1" w:rsidRPr="002734F1" w:rsidRDefault="002734F1" w:rsidP="002734F1">
            <w:pPr>
              <w:rPr>
                <w:rFonts w:eastAsia="Times New Roman" w:cs="Times New Roman"/>
                <w:color w:val="000000"/>
                <w:sz w:val="18"/>
                <w:szCs w:val="18"/>
                <w:lang w:eastAsia="ru-RU"/>
              </w:rPr>
            </w:pPr>
          </w:p>
        </w:tc>
      </w:tr>
    </w:tbl>
    <w:p w:rsidR="007C6370" w:rsidRPr="00E11F18" w:rsidRDefault="007C6370" w:rsidP="00274358">
      <w:pPr>
        <w:tabs>
          <w:tab w:val="left" w:pos="4883"/>
        </w:tabs>
        <w:jc w:val="center"/>
        <w:rPr>
          <w:sz w:val="21"/>
          <w:szCs w:val="21"/>
        </w:rPr>
      </w:pPr>
    </w:p>
    <w:sectPr w:rsidR="007C6370" w:rsidRPr="00E11F18" w:rsidSect="00D37931">
      <w:footerReference w:type="default" r:id="rId10"/>
      <w:pgSz w:w="16838" w:h="11906" w:orient="landscape"/>
      <w:pgMar w:top="567" w:right="567"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C6" w:rsidRDefault="00FC51C6" w:rsidP="006B3385">
      <w:r>
        <w:separator/>
      </w:r>
    </w:p>
  </w:endnote>
  <w:endnote w:type="continuationSeparator" w:id="0">
    <w:p w:rsidR="00FC51C6" w:rsidRDefault="00FC51C6"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1F" w:rsidRDefault="0006211F">
    <w:pPr>
      <w:pStyle w:val="a3"/>
      <w:jc w:val="right"/>
    </w:pPr>
    <w:r>
      <w:fldChar w:fldCharType="begin"/>
    </w:r>
    <w:r>
      <w:instrText>PAGE   \* MERGEFORMAT</w:instrText>
    </w:r>
    <w:r>
      <w:fldChar w:fldCharType="separate"/>
    </w:r>
    <w:r w:rsidR="002734F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C6" w:rsidRDefault="00FC51C6" w:rsidP="006B3385">
      <w:r>
        <w:separator/>
      </w:r>
    </w:p>
  </w:footnote>
  <w:footnote w:type="continuationSeparator" w:id="0">
    <w:p w:rsidR="00FC51C6" w:rsidRDefault="00FC51C6" w:rsidP="006B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05DD0"/>
    <w:rsid w:val="000149BF"/>
    <w:rsid w:val="00014E59"/>
    <w:rsid w:val="0006211F"/>
    <w:rsid w:val="00075F4D"/>
    <w:rsid w:val="00115B1E"/>
    <w:rsid w:val="0014111F"/>
    <w:rsid w:val="0015396D"/>
    <w:rsid w:val="00160679"/>
    <w:rsid w:val="001840C4"/>
    <w:rsid w:val="00197144"/>
    <w:rsid w:val="001C706F"/>
    <w:rsid w:val="001E607D"/>
    <w:rsid w:val="001F1F46"/>
    <w:rsid w:val="002012AA"/>
    <w:rsid w:val="0022727C"/>
    <w:rsid w:val="002734F1"/>
    <w:rsid w:val="00274358"/>
    <w:rsid w:val="002B6020"/>
    <w:rsid w:val="003327FC"/>
    <w:rsid w:val="003609C1"/>
    <w:rsid w:val="00380F27"/>
    <w:rsid w:val="0040390D"/>
    <w:rsid w:val="0043710E"/>
    <w:rsid w:val="004675B7"/>
    <w:rsid w:val="00495EBD"/>
    <w:rsid w:val="004C6BBF"/>
    <w:rsid w:val="004D0DD6"/>
    <w:rsid w:val="004E3783"/>
    <w:rsid w:val="0052478A"/>
    <w:rsid w:val="005D407B"/>
    <w:rsid w:val="005E1D61"/>
    <w:rsid w:val="006B3385"/>
    <w:rsid w:val="006F10CE"/>
    <w:rsid w:val="00714B5B"/>
    <w:rsid w:val="00742514"/>
    <w:rsid w:val="007429FE"/>
    <w:rsid w:val="007931AA"/>
    <w:rsid w:val="007B78C5"/>
    <w:rsid w:val="007C6370"/>
    <w:rsid w:val="007D5067"/>
    <w:rsid w:val="007F6E47"/>
    <w:rsid w:val="00857CDE"/>
    <w:rsid w:val="008C0555"/>
    <w:rsid w:val="00911DF5"/>
    <w:rsid w:val="009B0DA1"/>
    <w:rsid w:val="00A1343E"/>
    <w:rsid w:val="00A841D0"/>
    <w:rsid w:val="00AB42A6"/>
    <w:rsid w:val="00B74BEA"/>
    <w:rsid w:val="00BA76CF"/>
    <w:rsid w:val="00BB7F45"/>
    <w:rsid w:val="00BF7DE0"/>
    <w:rsid w:val="00C477DB"/>
    <w:rsid w:val="00CA09A0"/>
    <w:rsid w:val="00CA51A3"/>
    <w:rsid w:val="00CF64F0"/>
    <w:rsid w:val="00D37931"/>
    <w:rsid w:val="00D600AF"/>
    <w:rsid w:val="00DD391B"/>
    <w:rsid w:val="00DE5E6E"/>
    <w:rsid w:val="00DF39D9"/>
    <w:rsid w:val="00E06710"/>
    <w:rsid w:val="00E11F18"/>
    <w:rsid w:val="00EA3450"/>
    <w:rsid w:val="00ED001D"/>
    <w:rsid w:val="00F16D46"/>
    <w:rsid w:val="00FC1873"/>
    <w:rsid w:val="00FC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161">
      <w:bodyDiv w:val="1"/>
      <w:marLeft w:val="0"/>
      <w:marRight w:val="0"/>
      <w:marTop w:val="0"/>
      <w:marBottom w:val="0"/>
      <w:divBdr>
        <w:top w:val="none" w:sz="0" w:space="0" w:color="auto"/>
        <w:left w:val="none" w:sz="0" w:space="0" w:color="auto"/>
        <w:bottom w:val="none" w:sz="0" w:space="0" w:color="auto"/>
        <w:right w:val="none" w:sz="0" w:space="0" w:color="auto"/>
      </w:divBdr>
    </w:div>
    <w:div w:id="175122910">
      <w:bodyDiv w:val="1"/>
      <w:marLeft w:val="0"/>
      <w:marRight w:val="0"/>
      <w:marTop w:val="0"/>
      <w:marBottom w:val="0"/>
      <w:divBdr>
        <w:top w:val="none" w:sz="0" w:space="0" w:color="auto"/>
        <w:left w:val="none" w:sz="0" w:space="0" w:color="auto"/>
        <w:bottom w:val="none" w:sz="0" w:space="0" w:color="auto"/>
        <w:right w:val="none" w:sz="0" w:space="0" w:color="auto"/>
      </w:divBdr>
    </w:div>
    <w:div w:id="371538855">
      <w:bodyDiv w:val="1"/>
      <w:marLeft w:val="0"/>
      <w:marRight w:val="0"/>
      <w:marTop w:val="0"/>
      <w:marBottom w:val="0"/>
      <w:divBdr>
        <w:top w:val="none" w:sz="0" w:space="0" w:color="auto"/>
        <w:left w:val="none" w:sz="0" w:space="0" w:color="auto"/>
        <w:bottom w:val="none" w:sz="0" w:space="0" w:color="auto"/>
        <w:right w:val="none" w:sz="0" w:space="0" w:color="auto"/>
      </w:divBdr>
    </w:div>
    <w:div w:id="413821102">
      <w:bodyDiv w:val="1"/>
      <w:marLeft w:val="0"/>
      <w:marRight w:val="0"/>
      <w:marTop w:val="0"/>
      <w:marBottom w:val="0"/>
      <w:divBdr>
        <w:top w:val="none" w:sz="0" w:space="0" w:color="auto"/>
        <w:left w:val="none" w:sz="0" w:space="0" w:color="auto"/>
        <w:bottom w:val="none" w:sz="0" w:space="0" w:color="auto"/>
        <w:right w:val="none" w:sz="0" w:space="0" w:color="auto"/>
      </w:divBdr>
    </w:div>
    <w:div w:id="497231003">
      <w:bodyDiv w:val="1"/>
      <w:marLeft w:val="0"/>
      <w:marRight w:val="0"/>
      <w:marTop w:val="0"/>
      <w:marBottom w:val="0"/>
      <w:divBdr>
        <w:top w:val="none" w:sz="0" w:space="0" w:color="auto"/>
        <w:left w:val="none" w:sz="0" w:space="0" w:color="auto"/>
        <w:bottom w:val="none" w:sz="0" w:space="0" w:color="auto"/>
        <w:right w:val="none" w:sz="0" w:space="0" w:color="auto"/>
      </w:divBdr>
    </w:div>
    <w:div w:id="536821881">
      <w:bodyDiv w:val="1"/>
      <w:marLeft w:val="0"/>
      <w:marRight w:val="0"/>
      <w:marTop w:val="0"/>
      <w:marBottom w:val="0"/>
      <w:divBdr>
        <w:top w:val="none" w:sz="0" w:space="0" w:color="auto"/>
        <w:left w:val="none" w:sz="0" w:space="0" w:color="auto"/>
        <w:bottom w:val="none" w:sz="0" w:space="0" w:color="auto"/>
        <w:right w:val="none" w:sz="0" w:space="0" w:color="auto"/>
      </w:divBdr>
    </w:div>
    <w:div w:id="698628834">
      <w:bodyDiv w:val="1"/>
      <w:marLeft w:val="0"/>
      <w:marRight w:val="0"/>
      <w:marTop w:val="0"/>
      <w:marBottom w:val="0"/>
      <w:divBdr>
        <w:top w:val="none" w:sz="0" w:space="0" w:color="auto"/>
        <w:left w:val="none" w:sz="0" w:space="0" w:color="auto"/>
        <w:bottom w:val="none" w:sz="0" w:space="0" w:color="auto"/>
        <w:right w:val="none" w:sz="0" w:space="0" w:color="auto"/>
      </w:divBdr>
    </w:div>
    <w:div w:id="715088294">
      <w:bodyDiv w:val="1"/>
      <w:marLeft w:val="0"/>
      <w:marRight w:val="0"/>
      <w:marTop w:val="0"/>
      <w:marBottom w:val="0"/>
      <w:divBdr>
        <w:top w:val="none" w:sz="0" w:space="0" w:color="auto"/>
        <w:left w:val="none" w:sz="0" w:space="0" w:color="auto"/>
        <w:bottom w:val="none" w:sz="0" w:space="0" w:color="auto"/>
        <w:right w:val="none" w:sz="0" w:space="0" w:color="auto"/>
      </w:divBdr>
    </w:div>
    <w:div w:id="736900502">
      <w:bodyDiv w:val="1"/>
      <w:marLeft w:val="0"/>
      <w:marRight w:val="0"/>
      <w:marTop w:val="0"/>
      <w:marBottom w:val="0"/>
      <w:divBdr>
        <w:top w:val="none" w:sz="0" w:space="0" w:color="auto"/>
        <w:left w:val="none" w:sz="0" w:space="0" w:color="auto"/>
        <w:bottom w:val="none" w:sz="0" w:space="0" w:color="auto"/>
        <w:right w:val="none" w:sz="0" w:space="0" w:color="auto"/>
      </w:divBdr>
    </w:div>
    <w:div w:id="750347204">
      <w:bodyDiv w:val="1"/>
      <w:marLeft w:val="0"/>
      <w:marRight w:val="0"/>
      <w:marTop w:val="0"/>
      <w:marBottom w:val="0"/>
      <w:divBdr>
        <w:top w:val="none" w:sz="0" w:space="0" w:color="auto"/>
        <w:left w:val="none" w:sz="0" w:space="0" w:color="auto"/>
        <w:bottom w:val="none" w:sz="0" w:space="0" w:color="auto"/>
        <w:right w:val="none" w:sz="0" w:space="0" w:color="auto"/>
      </w:divBdr>
    </w:div>
    <w:div w:id="754126702">
      <w:bodyDiv w:val="1"/>
      <w:marLeft w:val="0"/>
      <w:marRight w:val="0"/>
      <w:marTop w:val="0"/>
      <w:marBottom w:val="0"/>
      <w:divBdr>
        <w:top w:val="none" w:sz="0" w:space="0" w:color="auto"/>
        <w:left w:val="none" w:sz="0" w:space="0" w:color="auto"/>
        <w:bottom w:val="none" w:sz="0" w:space="0" w:color="auto"/>
        <w:right w:val="none" w:sz="0" w:space="0" w:color="auto"/>
      </w:divBdr>
    </w:div>
    <w:div w:id="812479609">
      <w:bodyDiv w:val="1"/>
      <w:marLeft w:val="0"/>
      <w:marRight w:val="0"/>
      <w:marTop w:val="0"/>
      <w:marBottom w:val="0"/>
      <w:divBdr>
        <w:top w:val="none" w:sz="0" w:space="0" w:color="auto"/>
        <w:left w:val="none" w:sz="0" w:space="0" w:color="auto"/>
        <w:bottom w:val="none" w:sz="0" w:space="0" w:color="auto"/>
        <w:right w:val="none" w:sz="0" w:space="0" w:color="auto"/>
      </w:divBdr>
    </w:div>
    <w:div w:id="818033916">
      <w:bodyDiv w:val="1"/>
      <w:marLeft w:val="0"/>
      <w:marRight w:val="0"/>
      <w:marTop w:val="0"/>
      <w:marBottom w:val="0"/>
      <w:divBdr>
        <w:top w:val="none" w:sz="0" w:space="0" w:color="auto"/>
        <w:left w:val="none" w:sz="0" w:space="0" w:color="auto"/>
        <w:bottom w:val="none" w:sz="0" w:space="0" w:color="auto"/>
        <w:right w:val="none" w:sz="0" w:space="0" w:color="auto"/>
      </w:divBdr>
    </w:div>
    <w:div w:id="961425272">
      <w:bodyDiv w:val="1"/>
      <w:marLeft w:val="0"/>
      <w:marRight w:val="0"/>
      <w:marTop w:val="0"/>
      <w:marBottom w:val="0"/>
      <w:divBdr>
        <w:top w:val="none" w:sz="0" w:space="0" w:color="auto"/>
        <w:left w:val="none" w:sz="0" w:space="0" w:color="auto"/>
        <w:bottom w:val="none" w:sz="0" w:space="0" w:color="auto"/>
        <w:right w:val="none" w:sz="0" w:space="0" w:color="auto"/>
      </w:divBdr>
    </w:div>
    <w:div w:id="979068793">
      <w:bodyDiv w:val="1"/>
      <w:marLeft w:val="0"/>
      <w:marRight w:val="0"/>
      <w:marTop w:val="0"/>
      <w:marBottom w:val="0"/>
      <w:divBdr>
        <w:top w:val="none" w:sz="0" w:space="0" w:color="auto"/>
        <w:left w:val="none" w:sz="0" w:space="0" w:color="auto"/>
        <w:bottom w:val="none" w:sz="0" w:space="0" w:color="auto"/>
        <w:right w:val="none" w:sz="0" w:space="0" w:color="auto"/>
      </w:divBdr>
    </w:div>
    <w:div w:id="1130055839">
      <w:bodyDiv w:val="1"/>
      <w:marLeft w:val="0"/>
      <w:marRight w:val="0"/>
      <w:marTop w:val="0"/>
      <w:marBottom w:val="0"/>
      <w:divBdr>
        <w:top w:val="none" w:sz="0" w:space="0" w:color="auto"/>
        <w:left w:val="none" w:sz="0" w:space="0" w:color="auto"/>
        <w:bottom w:val="none" w:sz="0" w:space="0" w:color="auto"/>
        <w:right w:val="none" w:sz="0" w:space="0" w:color="auto"/>
      </w:divBdr>
    </w:div>
    <w:div w:id="1181505795">
      <w:bodyDiv w:val="1"/>
      <w:marLeft w:val="0"/>
      <w:marRight w:val="0"/>
      <w:marTop w:val="0"/>
      <w:marBottom w:val="0"/>
      <w:divBdr>
        <w:top w:val="none" w:sz="0" w:space="0" w:color="auto"/>
        <w:left w:val="none" w:sz="0" w:space="0" w:color="auto"/>
        <w:bottom w:val="none" w:sz="0" w:space="0" w:color="auto"/>
        <w:right w:val="none" w:sz="0" w:space="0" w:color="auto"/>
      </w:divBdr>
    </w:div>
    <w:div w:id="1211499109">
      <w:bodyDiv w:val="1"/>
      <w:marLeft w:val="0"/>
      <w:marRight w:val="0"/>
      <w:marTop w:val="0"/>
      <w:marBottom w:val="0"/>
      <w:divBdr>
        <w:top w:val="none" w:sz="0" w:space="0" w:color="auto"/>
        <w:left w:val="none" w:sz="0" w:space="0" w:color="auto"/>
        <w:bottom w:val="none" w:sz="0" w:space="0" w:color="auto"/>
        <w:right w:val="none" w:sz="0" w:space="0" w:color="auto"/>
      </w:divBdr>
    </w:div>
    <w:div w:id="1215893545">
      <w:bodyDiv w:val="1"/>
      <w:marLeft w:val="0"/>
      <w:marRight w:val="0"/>
      <w:marTop w:val="0"/>
      <w:marBottom w:val="0"/>
      <w:divBdr>
        <w:top w:val="none" w:sz="0" w:space="0" w:color="auto"/>
        <w:left w:val="none" w:sz="0" w:space="0" w:color="auto"/>
        <w:bottom w:val="none" w:sz="0" w:space="0" w:color="auto"/>
        <w:right w:val="none" w:sz="0" w:space="0" w:color="auto"/>
      </w:divBdr>
    </w:div>
    <w:div w:id="1223449217">
      <w:bodyDiv w:val="1"/>
      <w:marLeft w:val="0"/>
      <w:marRight w:val="0"/>
      <w:marTop w:val="0"/>
      <w:marBottom w:val="0"/>
      <w:divBdr>
        <w:top w:val="none" w:sz="0" w:space="0" w:color="auto"/>
        <w:left w:val="none" w:sz="0" w:space="0" w:color="auto"/>
        <w:bottom w:val="none" w:sz="0" w:space="0" w:color="auto"/>
        <w:right w:val="none" w:sz="0" w:space="0" w:color="auto"/>
      </w:divBdr>
    </w:div>
    <w:div w:id="1260021985">
      <w:bodyDiv w:val="1"/>
      <w:marLeft w:val="0"/>
      <w:marRight w:val="0"/>
      <w:marTop w:val="0"/>
      <w:marBottom w:val="0"/>
      <w:divBdr>
        <w:top w:val="none" w:sz="0" w:space="0" w:color="auto"/>
        <w:left w:val="none" w:sz="0" w:space="0" w:color="auto"/>
        <w:bottom w:val="none" w:sz="0" w:space="0" w:color="auto"/>
        <w:right w:val="none" w:sz="0" w:space="0" w:color="auto"/>
      </w:divBdr>
    </w:div>
    <w:div w:id="1287732489">
      <w:bodyDiv w:val="1"/>
      <w:marLeft w:val="0"/>
      <w:marRight w:val="0"/>
      <w:marTop w:val="0"/>
      <w:marBottom w:val="0"/>
      <w:divBdr>
        <w:top w:val="none" w:sz="0" w:space="0" w:color="auto"/>
        <w:left w:val="none" w:sz="0" w:space="0" w:color="auto"/>
        <w:bottom w:val="none" w:sz="0" w:space="0" w:color="auto"/>
        <w:right w:val="none" w:sz="0" w:space="0" w:color="auto"/>
      </w:divBdr>
    </w:div>
    <w:div w:id="1316645882">
      <w:bodyDiv w:val="1"/>
      <w:marLeft w:val="0"/>
      <w:marRight w:val="0"/>
      <w:marTop w:val="0"/>
      <w:marBottom w:val="0"/>
      <w:divBdr>
        <w:top w:val="none" w:sz="0" w:space="0" w:color="auto"/>
        <w:left w:val="none" w:sz="0" w:space="0" w:color="auto"/>
        <w:bottom w:val="none" w:sz="0" w:space="0" w:color="auto"/>
        <w:right w:val="none" w:sz="0" w:space="0" w:color="auto"/>
      </w:divBdr>
    </w:div>
    <w:div w:id="1386173985">
      <w:bodyDiv w:val="1"/>
      <w:marLeft w:val="0"/>
      <w:marRight w:val="0"/>
      <w:marTop w:val="0"/>
      <w:marBottom w:val="0"/>
      <w:divBdr>
        <w:top w:val="none" w:sz="0" w:space="0" w:color="auto"/>
        <w:left w:val="none" w:sz="0" w:space="0" w:color="auto"/>
        <w:bottom w:val="none" w:sz="0" w:space="0" w:color="auto"/>
        <w:right w:val="none" w:sz="0" w:space="0" w:color="auto"/>
      </w:divBdr>
    </w:div>
    <w:div w:id="1409157765">
      <w:bodyDiv w:val="1"/>
      <w:marLeft w:val="0"/>
      <w:marRight w:val="0"/>
      <w:marTop w:val="0"/>
      <w:marBottom w:val="0"/>
      <w:divBdr>
        <w:top w:val="none" w:sz="0" w:space="0" w:color="auto"/>
        <w:left w:val="none" w:sz="0" w:space="0" w:color="auto"/>
        <w:bottom w:val="none" w:sz="0" w:space="0" w:color="auto"/>
        <w:right w:val="none" w:sz="0" w:space="0" w:color="auto"/>
      </w:divBdr>
    </w:div>
    <w:div w:id="1411851049">
      <w:bodyDiv w:val="1"/>
      <w:marLeft w:val="0"/>
      <w:marRight w:val="0"/>
      <w:marTop w:val="0"/>
      <w:marBottom w:val="0"/>
      <w:divBdr>
        <w:top w:val="none" w:sz="0" w:space="0" w:color="auto"/>
        <w:left w:val="none" w:sz="0" w:space="0" w:color="auto"/>
        <w:bottom w:val="none" w:sz="0" w:space="0" w:color="auto"/>
        <w:right w:val="none" w:sz="0" w:space="0" w:color="auto"/>
      </w:divBdr>
    </w:div>
    <w:div w:id="1471750251">
      <w:bodyDiv w:val="1"/>
      <w:marLeft w:val="0"/>
      <w:marRight w:val="0"/>
      <w:marTop w:val="0"/>
      <w:marBottom w:val="0"/>
      <w:divBdr>
        <w:top w:val="none" w:sz="0" w:space="0" w:color="auto"/>
        <w:left w:val="none" w:sz="0" w:space="0" w:color="auto"/>
        <w:bottom w:val="none" w:sz="0" w:space="0" w:color="auto"/>
        <w:right w:val="none" w:sz="0" w:space="0" w:color="auto"/>
      </w:divBdr>
    </w:div>
    <w:div w:id="1501580625">
      <w:bodyDiv w:val="1"/>
      <w:marLeft w:val="0"/>
      <w:marRight w:val="0"/>
      <w:marTop w:val="0"/>
      <w:marBottom w:val="0"/>
      <w:divBdr>
        <w:top w:val="none" w:sz="0" w:space="0" w:color="auto"/>
        <w:left w:val="none" w:sz="0" w:space="0" w:color="auto"/>
        <w:bottom w:val="none" w:sz="0" w:space="0" w:color="auto"/>
        <w:right w:val="none" w:sz="0" w:space="0" w:color="auto"/>
      </w:divBdr>
    </w:div>
    <w:div w:id="1588809957">
      <w:bodyDiv w:val="1"/>
      <w:marLeft w:val="0"/>
      <w:marRight w:val="0"/>
      <w:marTop w:val="0"/>
      <w:marBottom w:val="0"/>
      <w:divBdr>
        <w:top w:val="none" w:sz="0" w:space="0" w:color="auto"/>
        <w:left w:val="none" w:sz="0" w:space="0" w:color="auto"/>
        <w:bottom w:val="none" w:sz="0" w:space="0" w:color="auto"/>
        <w:right w:val="none" w:sz="0" w:space="0" w:color="auto"/>
      </w:divBdr>
    </w:div>
    <w:div w:id="1686054885">
      <w:bodyDiv w:val="1"/>
      <w:marLeft w:val="0"/>
      <w:marRight w:val="0"/>
      <w:marTop w:val="0"/>
      <w:marBottom w:val="0"/>
      <w:divBdr>
        <w:top w:val="none" w:sz="0" w:space="0" w:color="auto"/>
        <w:left w:val="none" w:sz="0" w:space="0" w:color="auto"/>
        <w:bottom w:val="none" w:sz="0" w:space="0" w:color="auto"/>
        <w:right w:val="none" w:sz="0" w:space="0" w:color="auto"/>
      </w:divBdr>
    </w:div>
    <w:div w:id="1983994554">
      <w:bodyDiv w:val="1"/>
      <w:marLeft w:val="0"/>
      <w:marRight w:val="0"/>
      <w:marTop w:val="0"/>
      <w:marBottom w:val="0"/>
      <w:divBdr>
        <w:top w:val="none" w:sz="0" w:space="0" w:color="auto"/>
        <w:left w:val="none" w:sz="0" w:space="0" w:color="auto"/>
        <w:bottom w:val="none" w:sz="0" w:space="0" w:color="auto"/>
        <w:right w:val="none" w:sz="0" w:space="0" w:color="auto"/>
      </w:divBdr>
    </w:div>
    <w:div w:id="2015985338">
      <w:bodyDiv w:val="1"/>
      <w:marLeft w:val="0"/>
      <w:marRight w:val="0"/>
      <w:marTop w:val="0"/>
      <w:marBottom w:val="0"/>
      <w:divBdr>
        <w:top w:val="none" w:sz="0" w:space="0" w:color="auto"/>
        <w:left w:val="none" w:sz="0" w:space="0" w:color="auto"/>
        <w:bottom w:val="none" w:sz="0" w:space="0" w:color="auto"/>
        <w:right w:val="none" w:sz="0" w:space="0" w:color="auto"/>
      </w:divBdr>
    </w:div>
    <w:div w:id="2034915552">
      <w:bodyDiv w:val="1"/>
      <w:marLeft w:val="0"/>
      <w:marRight w:val="0"/>
      <w:marTop w:val="0"/>
      <w:marBottom w:val="0"/>
      <w:divBdr>
        <w:top w:val="none" w:sz="0" w:space="0" w:color="auto"/>
        <w:left w:val="none" w:sz="0" w:space="0" w:color="auto"/>
        <w:bottom w:val="none" w:sz="0" w:space="0" w:color="auto"/>
        <w:right w:val="none" w:sz="0" w:space="0" w:color="auto"/>
      </w:divBdr>
    </w:div>
    <w:div w:id="2064793032">
      <w:bodyDiv w:val="1"/>
      <w:marLeft w:val="0"/>
      <w:marRight w:val="0"/>
      <w:marTop w:val="0"/>
      <w:marBottom w:val="0"/>
      <w:divBdr>
        <w:top w:val="none" w:sz="0" w:space="0" w:color="auto"/>
        <w:left w:val="none" w:sz="0" w:space="0" w:color="auto"/>
        <w:bottom w:val="none" w:sz="0" w:space="0" w:color="auto"/>
        <w:right w:val="none" w:sz="0" w:space="0" w:color="auto"/>
      </w:divBdr>
    </w:div>
    <w:div w:id="2118406120">
      <w:bodyDiv w:val="1"/>
      <w:marLeft w:val="0"/>
      <w:marRight w:val="0"/>
      <w:marTop w:val="0"/>
      <w:marBottom w:val="0"/>
      <w:divBdr>
        <w:top w:val="none" w:sz="0" w:space="0" w:color="auto"/>
        <w:left w:val="none" w:sz="0" w:space="0" w:color="auto"/>
        <w:bottom w:val="none" w:sz="0" w:space="0" w:color="auto"/>
        <w:right w:val="none" w:sz="0" w:space="0" w:color="auto"/>
      </w:divBdr>
    </w:div>
    <w:div w:id="2144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2022-09-06T06:12:00Z</dcterms:created>
  <dcterms:modified xsi:type="dcterms:W3CDTF">2025-07-16T09:06:00Z</dcterms:modified>
</cp:coreProperties>
</file>