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7EF0" w14:textId="77777777" w:rsidR="0047375A" w:rsidRPr="006D332C" w:rsidRDefault="0047375A" w:rsidP="0047375A">
      <w:pPr>
        <w:jc w:val="right"/>
      </w:pPr>
      <w:bookmarkStart w:id="0" w:name="_Hlk203482502"/>
      <w:r w:rsidRPr="006D332C">
        <w:t xml:space="preserve">Приложение 1 </w:t>
      </w:r>
    </w:p>
    <w:p w14:paraId="67EF2A28" w14:textId="570FAC67" w:rsidR="0047375A" w:rsidRPr="006D332C" w:rsidRDefault="0047375A" w:rsidP="00F76EFD">
      <w:pPr>
        <w:jc w:val="center"/>
        <w:rPr>
          <w:rFonts w:eastAsia="Liberation Serif"/>
          <w:b/>
          <w:bCs/>
        </w:rPr>
      </w:pPr>
      <w:r w:rsidRPr="006D332C">
        <w:rPr>
          <w:rFonts w:eastAsia="Liberation Serif"/>
          <w:b/>
          <w:bCs/>
        </w:rPr>
        <w:t>Описание предмета закупки</w:t>
      </w:r>
    </w:p>
    <w:p w14:paraId="60C70541" w14:textId="059693AE" w:rsidR="0068540B" w:rsidRPr="006D332C" w:rsidRDefault="0068540B" w:rsidP="0068540B">
      <w:pPr>
        <w:widowControl w:val="0"/>
        <w:jc w:val="center"/>
        <w:rPr>
          <w:rFonts w:eastAsia="Liberation Serif"/>
          <w:b/>
        </w:rPr>
      </w:pPr>
      <w:r w:rsidRPr="006D332C">
        <w:rPr>
          <w:rFonts w:eastAsia="Liberation Serif"/>
          <w:b/>
        </w:rPr>
        <w:t>Поставка медицинских расходных материалов</w:t>
      </w:r>
      <w:r w:rsidR="00427A69" w:rsidRPr="006D332C">
        <w:rPr>
          <w:rFonts w:eastAsia="Liberation Serif"/>
          <w:b/>
        </w:rPr>
        <w:t xml:space="preserve"> для ЦСО</w:t>
      </w:r>
      <w:r w:rsidR="00F76EFD" w:rsidRPr="006D332C">
        <w:rPr>
          <w:rFonts w:eastAsia="Liberation Serif"/>
          <w:b/>
        </w:rPr>
        <w:t xml:space="preserve"> </w:t>
      </w:r>
      <w:r w:rsidR="00A25CEC" w:rsidRPr="006D332C">
        <w:rPr>
          <w:rFonts w:eastAsia="Liberation Serif"/>
          <w:b/>
        </w:rPr>
        <w:t>(</w:t>
      </w:r>
      <w:r w:rsidR="006D332C">
        <w:rPr>
          <w:rFonts w:eastAsia="Liberation Serif"/>
          <w:b/>
        </w:rPr>
        <w:t>индикатор</w:t>
      </w:r>
      <w:r w:rsidR="00AC5491">
        <w:rPr>
          <w:rFonts w:eastAsia="Liberation Serif"/>
          <w:b/>
        </w:rPr>
        <w:t>ы</w:t>
      </w:r>
      <w:r w:rsidR="00A25CEC" w:rsidRPr="006D332C">
        <w:rPr>
          <w:rFonts w:eastAsia="Liberation Serif"/>
          <w:b/>
        </w:rPr>
        <w:t>)</w:t>
      </w:r>
    </w:p>
    <w:p w14:paraId="28400DC5" w14:textId="77777777" w:rsidR="00114A04" w:rsidRPr="006D332C" w:rsidRDefault="00114A04" w:rsidP="0068540B">
      <w:pPr>
        <w:widowControl w:val="0"/>
        <w:jc w:val="center"/>
        <w:rPr>
          <w:rFonts w:eastAsia="Liberation Serif"/>
          <w:bCs/>
        </w:rPr>
      </w:pPr>
    </w:p>
    <w:p w14:paraId="1BB13F01" w14:textId="77777777" w:rsidR="004669C5" w:rsidRPr="006D332C" w:rsidRDefault="004669C5" w:rsidP="004669C5">
      <w:pPr>
        <w:jc w:val="center"/>
        <w:rPr>
          <w:rFonts w:eastAsia="Liberation Serif"/>
        </w:rPr>
      </w:pPr>
      <w:r w:rsidRPr="006D332C">
        <w:rPr>
          <w:rFonts w:eastAsia="Liberation Serif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tbl>
      <w:tblPr>
        <w:tblW w:w="1516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40"/>
        <w:gridCol w:w="992"/>
        <w:gridCol w:w="1276"/>
        <w:gridCol w:w="2835"/>
        <w:gridCol w:w="3402"/>
        <w:gridCol w:w="2977"/>
      </w:tblGrid>
      <w:tr w:rsidR="00C529B7" w:rsidRPr="006D332C" w14:paraId="216D51BD" w14:textId="77777777" w:rsidTr="00C529B7">
        <w:trPr>
          <w:trHeight w:val="510"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79CABDF6" w14:textId="77777777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 w:rsidRPr="006D332C">
              <w:rPr>
                <w:rFonts w:eastAsia="Liberation Serif"/>
              </w:rPr>
              <w:t>№ п/п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E673D6" w14:textId="77777777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 w:rsidRPr="006D332C">
              <w:rPr>
                <w:rFonts w:eastAsia="Liberation Serif"/>
              </w:rPr>
              <w:t>Наименование товара</w:t>
            </w:r>
          </w:p>
        </w:tc>
        <w:tc>
          <w:tcPr>
            <w:tcW w:w="992" w:type="dxa"/>
          </w:tcPr>
          <w:p w14:paraId="322FCD5D" w14:textId="6BBEA04D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Ед. изм.</w:t>
            </w:r>
          </w:p>
        </w:tc>
        <w:tc>
          <w:tcPr>
            <w:tcW w:w="1276" w:type="dxa"/>
          </w:tcPr>
          <w:p w14:paraId="26181E3D" w14:textId="62381DA1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Кол-во</w:t>
            </w:r>
          </w:p>
        </w:tc>
        <w:tc>
          <w:tcPr>
            <w:tcW w:w="2835" w:type="dxa"/>
            <w:vAlign w:val="center"/>
          </w:tcPr>
          <w:p w14:paraId="30F6C11E" w14:textId="29F138AD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 w:rsidRPr="006D332C">
              <w:rPr>
                <w:rFonts w:eastAsia="Liberation Serif"/>
              </w:rPr>
              <w:t>Наименование характеристик, показателя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5B76CA" w14:textId="77777777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 w:rsidRPr="006D332C">
              <w:rPr>
                <w:rFonts w:eastAsia="Liberation Serif"/>
              </w:rPr>
              <w:t>Значение характеристики, показателя</w:t>
            </w:r>
          </w:p>
        </w:tc>
        <w:tc>
          <w:tcPr>
            <w:tcW w:w="2977" w:type="dxa"/>
            <w:vAlign w:val="center"/>
          </w:tcPr>
          <w:p w14:paraId="20E8E386" w14:textId="77777777" w:rsidR="00C529B7" w:rsidRPr="006D332C" w:rsidRDefault="00C529B7" w:rsidP="007072F9">
            <w:pPr>
              <w:jc w:val="center"/>
              <w:rPr>
                <w:rFonts w:eastAsia="Liberation Serif"/>
              </w:rPr>
            </w:pPr>
            <w:r w:rsidRPr="006D332C">
              <w:rPr>
                <w:rFonts w:eastAsia="Liberation Serif"/>
              </w:rPr>
              <w:t>Инструкция участнику закупки по формированию предложения</w:t>
            </w:r>
          </w:p>
        </w:tc>
      </w:tr>
      <w:tr w:rsidR="00C529B7" w:rsidRPr="006D332C" w14:paraId="79C6CA13" w14:textId="77777777" w:rsidTr="00C529B7">
        <w:trPr>
          <w:trHeight w:val="3036"/>
          <w:jc w:val="right"/>
        </w:trPr>
        <w:tc>
          <w:tcPr>
            <w:tcW w:w="84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79E59321" w14:textId="77777777" w:rsidR="00C529B7" w:rsidRPr="006D332C" w:rsidRDefault="00C529B7" w:rsidP="007072F9">
            <w:pPr>
              <w:jc w:val="center"/>
              <w:rPr>
                <w:rFonts w:eastAsia="Liberation Serif"/>
                <w:b/>
                <w:bCs/>
              </w:rPr>
            </w:pPr>
            <w:r w:rsidRPr="006D332C">
              <w:rPr>
                <w:rFonts w:eastAsia="Liberation Serif"/>
                <w:b/>
                <w:bCs/>
              </w:rPr>
              <w:t>1</w:t>
            </w:r>
          </w:p>
        </w:tc>
        <w:tc>
          <w:tcPr>
            <w:tcW w:w="284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768C69BD" w14:textId="597E0C6C" w:rsidR="00C529B7" w:rsidRPr="006D332C" w:rsidRDefault="00C529B7" w:rsidP="007072F9">
            <w:pPr>
              <w:rPr>
                <w:rFonts w:eastAsia="Liberation Serif"/>
                <w:b/>
                <w:bCs/>
              </w:rPr>
            </w:pPr>
            <w:r>
              <w:rPr>
                <w:rFonts w:eastAsia="Liberation Serif"/>
                <w:b/>
                <w:bCs/>
              </w:rPr>
              <w:t>И</w:t>
            </w:r>
            <w:r w:rsidRPr="006D332C">
              <w:rPr>
                <w:rFonts w:eastAsia="Liberation Serif"/>
                <w:b/>
                <w:bCs/>
              </w:rPr>
              <w:t>ндикатор для контроля качества предстерилизационной очистки медицинского назначения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14:paraId="12156B9F" w14:textId="25358701" w:rsidR="00C529B7" w:rsidRPr="006D332C" w:rsidRDefault="00C529B7" w:rsidP="00C52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4D1619B8" w14:textId="2F78A448" w:rsidR="00C529B7" w:rsidRPr="006D332C" w:rsidRDefault="00C529B7" w:rsidP="00C52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179D1" w14:textId="274AF893" w:rsidR="00C529B7" w:rsidRPr="006D332C" w:rsidRDefault="00C529B7" w:rsidP="006D332C">
            <w:pPr>
              <w:rPr>
                <w:rFonts w:eastAsia="Liberation Serif"/>
                <w:b/>
                <w:bCs/>
              </w:rPr>
            </w:pPr>
            <w:r w:rsidRPr="006D332C">
              <w:t>Назначение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06AE7AC" w14:textId="4386F5EC" w:rsidR="00C529B7" w:rsidRPr="006D332C" w:rsidRDefault="00C529B7" w:rsidP="006D332C">
            <w:pPr>
              <w:rPr>
                <w:rFonts w:eastAsia="Liberation Serif"/>
                <w:b/>
                <w:bCs/>
              </w:rPr>
            </w:pPr>
            <w:r w:rsidRPr="008C7D91">
              <w:t>Набор реагентов и других связанных с ними материалов, предназначенный для выявления скрытой крови и остатков щелочных компонентов с целью контроля качества предстерилизационной очистки медицинских изделий. Изменение окраски раствора свидетельствует о наличии загрязнений на поверхности медицинских изделий. Это изделие одноразового использования.</w:t>
            </w:r>
            <w: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046736D" w14:textId="0CF33CCC" w:rsidR="00C529B7" w:rsidRPr="006D332C" w:rsidRDefault="00C529B7" w:rsidP="006D332C">
            <w:pPr>
              <w:jc w:val="center"/>
              <w:rPr>
                <w:rFonts w:eastAsia="Liberation Serif"/>
              </w:rPr>
            </w:pPr>
            <w:r w:rsidRPr="006D332C">
              <w:rPr>
                <w:color w:val="000000"/>
                <w:kern w:val="3"/>
              </w:rPr>
              <w:t>Неизменный показатель</w:t>
            </w:r>
          </w:p>
        </w:tc>
      </w:tr>
      <w:tr w:rsidR="00C529B7" w:rsidRPr="006D332C" w14:paraId="0EFF782C" w14:textId="77777777" w:rsidTr="00C529B7">
        <w:trPr>
          <w:trHeight w:val="70"/>
          <w:jc w:val="right"/>
        </w:trPr>
        <w:tc>
          <w:tcPr>
            <w:tcW w:w="846" w:type="dxa"/>
            <w:vMerge/>
            <w:shd w:val="clear" w:color="auto" w:fill="auto"/>
          </w:tcPr>
          <w:p w14:paraId="56AE0276" w14:textId="77777777" w:rsidR="00C529B7" w:rsidRPr="006D332C" w:rsidRDefault="00C529B7" w:rsidP="006D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6CA13F7C" w14:textId="77777777" w:rsidR="00C529B7" w:rsidRPr="006D332C" w:rsidRDefault="00C529B7" w:rsidP="006D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992" w:type="dxa"/>
            <w:vMerge/>
          </w:tcPr>
          <w:p w14:paraId="5387B08B" w14:textId="77777777" w:rsidR="00C529B7" w:rsidRPr="006D332C" w:rsidRDefault="00C529B7" w:rsidP="006D332C"/>
        </w:tc>
        <w:tc>
          <w:tcPr>
            <w:tcW w:w="1276" w:type="dxa"/>
            <w:vMerge/>
          </w:tcPr>
          <w:p w14:paraId="4C108682" w14:textId="371FA19C" w:rsidR="00C529B7" w:rsidRPr="006D332C" w:rsidRDefault="00C529B7" w:rsidP="006D332C"/>
        </w:tc>
        <w:tc>
          <w:tcPr>
            <w:tcW w:w="2835" w:type="dxa"/>
          </w:tcPr>
          <w:p w14:paraId="010D67FE" w14:textId="31740C81" w:rsidR="00C529B7" w:rsidRPr="006D332C" w:rsidRDefault="00C529B7" w:rsidP="006D332C">
            <w:r w:rsidRPr="006D332C">
              <w:t>Состав</w:t>
            </w:r>
          </w:p>
        </w:tc>
        <w:tc>
          <w:tcPr>
            <w:tcW w:w="3402" w:type="dxa"/>
            <w:shd w:val="clear" w:color="auto" w:fill="auto"/>
          </w:tcPr>
          <w:p w14:paraId="7A5B3D22" w14:textId="662B49C0" w:rsidR="00C529B7" w:rsidRPr="006D332C" w:rsidRDefault="00C529B7" w:rsidP="006D332C">
            <w:r w:rsidRPr="006D332C">
              <w:t>Смесь сухих компонентов – амидопирина, анилина солянокислого, стабилизаторов</w:t>
            </w:r>
          </w:p>
        </w:tc>
        <w:tc>
          <w:tcPr>
            <w:tcW w:w="2977" w:type="dxa"/>
          </w:tcPr>
          <w:p w14:paraId="19453498" w14:textId="50B922EB" w:rsidR="00C529B7" w:rsidRPr="006D332C" w:rsidRDefault="00C529B7" w:rsidP="006D332C">
            <w:pPr>
              <w:jc w:val="center"/>
              <w:rPr>
                <w:color w:val="000000"/>
                <w:kern w:val="3"/>
              </w:rPr>
            </w:pPr>
            <w:r w:rsidRPr="006D332C">
              <w:t>Неизменный показатель</w:t>
            </w:r>
          </w:p>
        </w:tc>
      </w:tr>
      <w:tr w:rsidR="00C529B7" w:rsidRPr="006D332C" w14:paraId="25096C59" w14:textId="77777777" w:rsidTr="00C529B7">
        <w:trPr>
          <w:trHeight w:val="70"/>
          <w:jc w:val="right"/>
        </w:trPr>
        <w:tc>
          <w:tcPr>
            <w:tcW w:w="846" w:type="dxa"/>
            <w:vMerge/>
            <w:shd w:val="clear" w:color="auto" w:fill="auto"/>
          </w:tcPr>
          <w:p w14:paraId="79B1F85D" w14:textId="77777777" w:rsidR="00C529B7" w:rsidRPr="006D332C" w:rsidRDefault="00C529B7" w:rsidP="006D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3B91F375" w14:textId="77777777" w:rsidR="00C529B7" w:rsidRPr="006D332C" w:rsidRDefault="00C529B7" w:rsidP="006D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992" w:type="dxa"/>
            <w:vMerge/>
          </w:tcPr>
          <w:p w14:paraId="0807E1E7" w14:textId="77777777" w:rsidR="00C529B7" w:rsidRPr="006D332C" w:rsidRDefault="00C529B7" w:rsidP="006D332C"/>
        </w:tc>
        <w:tc>
          <w:tcPr>
            <w:tcW w:w="1276" w:type="dxa"/>
            <w:vMerge/>
          </w:tcPr>
          <w:p w14:paraId="261D2E54" w14:textId="178C9A4B" w:rsidR="00C529B7" w:rsidRPr="006D332C" w:rsidRDefault="00C529B7" w:rsidP="006D332C"/>
        </w:tc>
        <w:tc>
          <w:tcPr>
            <w:tcW w:w="2835" w:type="dxa"/>
          </w:tcPr>
          <w:p w14:paraId="6935AA17" w14:textId="3104F44E" w:rsidR="00C529B7" w:rsidRPr="006D332C" w:rsidRDefault="00C529B7" w:rsidP="006D332C">
            <w:r w:rsidRPr="006D332C">
              <w:t>Рассчитан на приготовления рабочего раствора, мл</w:t>
            </w:r>
          </w:p>
        </w:tc>
        <w:tc>
          <w:tcPr>
            <w:tcW w:w="3402" w:type="dxa"/>
            <w:shd w:val="clear" w:color="auto" w:fill="auto"/>
          </w:tcPr>
          <w:p w14:paraId="4ACB2559" w14:textId="1BB4BFA5" w:rsidR="00C529B7" w:rsidRPr="006D332C" w:rsidRDefault="00C529B7" w:rsidP="006D332C">
            <w:r w:rsidRPr="006D332C">
              <w:t>200</w:t>
            </w:r>
          </w:p>
        </w:tc>
        <w:tc>
          <w:tcPr>
            <w:tcW w:w="2977" w:type="dxa"/>
          </w:tcPr>
          <w:p w14:paraId="6E649DDF" w14:textId="697D692F" w:rsidR="00C529B7" w:rsidRPr="006D332C" w:rsidRDefault="00C529B7" w:rsidP="006D332C">
            <w:pPr>
              <w:jc w:val="center"/>
              <w:rPr>
                <w:color w:val="000000"/>
                <w:kern w:val="3"/>
              </w:rPr>
            </w:pPr>
            <w:r w:rsidRPr="006D332C">
              <w:t>Неизменный показатель</w:t>
            </w:r>
          </w:p>
        </w:tc>
      </w:tr>
      <w:tr w:rsidR="00C529B7" w:rsidRPr="006D332C" w14:paraId="79ED6365" w14:textId="77777777" w:rsidTr="00C529B7">
        <w:trPr>
          <w:trHeight w:val="3312"/>
          <w:jc w:val="right"/>
        </w:trPr>
        <w:tc>
          <w:tcPr>
            <w:tcW w:w="84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395F4BE2" w14:textId="77777777" w:rsidR="00C529B7" w:rsidRPr="006D332C" w:rsidRDefault="00C529B7" w:rsidP="00707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  <w:bookmarkStart w:id="1" w:name="_GoBack" w:colFirst="2" w:colLast="3"/>
            <w:r w:rsidRPr="006D332C">
              <w:rPr>
                <w:rFonts w:eastAsia="Liberation Serif"/>
              </w:rPr>
              <w:lastRenderedPageBreak/>
              <w:t>2</w:t>
            </w:r>
          </w:p>
        </w:tc>
        <w:tc>
          <w:tcPr>
            <w:tcW w:w="284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1A499D7" w14:textId="6AA32A7B" w:rsidR="00C529B7" w:rsidRPr="006D332C" w:rsidRDefault="00C529B7" w:rsidP="00707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  <w:r>
              <w:rPr>
                <w:rFonts w:eastAsia="Liberation Serif"/>
                <w:b/>
                <w:bCs/>
              </w:rPr>
              <w:t>И</w:t>
            </w:r>
            <w:r w:rsidRPr="006D332C">
              <w:rPr>
                <w:rFonts w:eastAsia="Liberation Serif"/>
                <w:b/>
                <w:bCs/>
              </w:rPr>
              <w:t>ндикатор контроля плазменной стерилизации класс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14:paraId="7E689854" w14:textId="232D7856" w:rsidR="00C529B7" w:rsidRPr="006D332C" w:rsidRDefault="00C529B7" w:rsidP="00C52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7EF4DAFC" w14:textId="28BB6AF7" w:rsidR="00C529B7" w:rsidRPr="006D332C" w:rsidRDefault="00C529B7" w:rsidP="00C52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104 000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2AEA8D1" w14:textId="14D1B07E" w:rsidR="00C529B7" w:rsidRPr="006D332C" w:rsidRDefault="00C529B7" w:rsidP="006244BE">
            <w:r w:rsidRPr="0006380C">
              <w:t>Назначение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18F405A" w14:textId="73DD846B" w:rsidR="00C529B7" w:rsidRPr="006D332C" w:rsidRDefault="00C529B7" w:rsidP="006244BE">
            <w:r w:rsidRPr="00BF6746">
              <w:t xml:space="preserve">Индикатор стерилизации, реагирующий на характерные химические или физические изменения одного или нескольких физических условий внутри стерилизационной камеры. </w:t>
            </w:r>
            <w:r>
              <w:t>Э</w:t>
            </w:r>
            <w:r w:rsidRPr="00BF6746">
              <w:t xml:space="preserve">то изделие одноразового </w:t>
            </w:r>
            <w:r>
              <w:t>ис</w:t>
            </w:r>
            <w:r w:rsidRPr="00BF6746">
              <w:t>пользования.</w:t>
            </w:r>
            <w:r>
              <w:t xml:space="preserve"> </w:t>
            </w:r>
            <w:r w:rsidRPr="00A44ABE">
              <w:t xml:space="preserve">Индикаторы </w:t>
            </w:r>
            <w:r>
              <w:t>помещаются</w:t>
            </w:r>
            <w:r w:rsidRPr="00A44ABE">
              <w:t xml:space="preserve"> внутрь лотка для того, чтобы визуально определить подвергались ли изделия медицинского назначения воздействию пероксида водорода во время прохождения цикла в камере </w:t>
            </w:r>
            <w:r>
              <w:t xml:space="preserve">плазменного </w:t>
            </w:r>
            <w:r w:rsidRPr="00A44ABE">
              <w:t>стерилизатора.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FA4A226" w14:textId="149A8BC3" w:rsidR="00C529B7" w:rsidRPr="006D332C" w:rsidRDefault="00C529B7" w:rsidP="006244BE">
            <w:pPr>
              <w:jc w:val="center"/>
              <w:rPr>
                <w:color w:val="000000"/>
                <w:kern w:val="3"/>
              </w:rPr>
            </w:pPr>
            <w:r w:rsidRPr="006D332C">
              <w:rPr>
                <w:color w:val="000000"/>
                <w:kern w:val="3"/>
              </w:rPr>
              <w:t>Неизменный показатель</w:t>
            </w:r>
          </w:p>
        </w:tc>
      </w:tr>
      <w:bookmarkEnd w:id="1"/>
      <w:tr w:rsidR="00C529B7" w:rsidRPr="006D332C" w14:paraId="0C620344" w14:textId="77777777" w:rsidTr="00C529B7">
        <w:trPr>
          <w:trHeight w:val="70"/>
          <w:jc w:val="right"/>
        </w:trPr>
        <w:tc>
          <w:tcPr>
            <w:tcW w:w="846" w:type="dxa"/>
            <w:vMerge/>
            <w:shd w:val="clear" w:color="auto" w:fill="auto"/>
          </w:tcPr>
          <w:p w14:paraId="0CB4E0B5" w14:textId="77777777" w:rsidR="00C529B7" w:rsidRPr="006D332C" w:rsidRDefault="00C529B7" w:rsidP="0062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121D2FDC" w14:textId="77777777" w:rsidR="00C529B7" w:rsidRPr="006D332C" w:rsidRDefault="00C529B7" w:rsidP="0062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992" w:type="dxa"/>
            <w:vMerge/>
          </w:tcPr>
          <w:p w14:paraId="374DA481" w14:textId="77777777" w:rsidR="00C529B7" w:rsidRDefault="00C529B7" w:rsidP="006244BE"/>
        </w:tc>
        <w:tc>
          <w:tcPr>
            <w:tcW w:w="1276" w:type="dxa"/>
            <w:vMerge/>
          </w:tcPr>
          <w:p w14:paraId="46486EBB" w14:textId="0D84B62D" w:rsidR="00C529B7" w:rsidRDefault="00C529B7" w:rsidP="006244BE"/>
        </w:tc>
        <w:tc>
          <w:tcPr>
            <w:tcW w:w="2835" w:type="dxa"/>
          </w:tcPr>
          <w:p w14:paraId="04C1D5EE" w14:textId="74B10637" w:rsidR="00C529B7" w:rsidRPr="006D332C" w:rsidRDefault="00C529B7" w:rsidP="006244BE">
            <w:r>
              <w:t>Изменение цвета п</w:t>
            </w:r>
            <w:r w:rsidRPr="00F5297A">
              <w:t xml:space="preserve">од воздействием пероксида водорода </w:t>
            </w:r>
          </w:p>
        </w:tc>
        <w:tc>
          <w:tcPr>
            <w:tcW w:w="3402" w:type="dxa"/>
            <w:shd w:val="clear" w:color="auto" w:fill="auto"/>
          </w:tcPr>
          <w:p w14:paraId="1B38B81F" w14:textId="627060CF" w:rsidR="00C529B7" w:rsidRPr="006D332C" w:rsidRDefault="00C529B7" w:rsidP="006244BE">
            <w:r>
              <w:t>Наличие</w:t>
            </w:r>
          </w:p>
        </w:tc>
        <w:tc>
          <w:tcPr>
            <w:tcW w:w="2977" w:type="dxa"/>
          </w:tcPr>
          <w:p w14:paraId="69FC3AA0" w14:textId="4AD1AE5F" w:rsidR="00C529B7" w:rsidRPr="006D332C" w:rsidRDefault="00C529B7" w:rsidP="006244BE">
            <w:pPr>
              <w:jc w:val="center"/>
              <w:rPr>
                <w:color w:val="000000"/>
                <w:kern w:val="3"/>
              </w:rPr>
            </w:pPr>
            <w:r w:rsidRPr="006D332C">
              <w:rPr>
                <w:color w:val="000000"/>
                <w:kern w:val="3"/>
              </w:rPr>
              <w:t>Неизменный показатель</w:t>
            </w:r>
          </w:p>
        </w:tc>
      </w:tr>
      <w:tr w:rsidR="00C529B7" w:rsidRPr="006D332C" w14:paraId="363FA9C3" w14:textId="77777777" w:rsidTr="00C529B7">
        <w:trPr>
          <w:trHeight w:val="70"/>
          <w:jc w:val="right"/>
        </w:trPr>
        <w:tc>
          <w:tcPr>
            <w:tcW w:w="846" w:type="dxa"/>
            <w:vMerge/>
            <w:shd w:val="clear" w:color="auto" w:fill="auto"/>
          </w:tcPr>
          <w:p w14:paraId="2723F3D6" w14:textId="77777777" w:rsidR="00C529B7" w:rsidRPr="006D332C" w:rsidRDefault="00C529B7" w:rsidP="0062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294E320F" w14:textId="77777777" w:rsidR="00C529B7" w:rsidRPr="006D332C" w:rsidRDefault="00C529B7" w:rsidP="0062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992" w:type="dxa"/>
            <w:vMerge/>
          </w:tcPr>
          <w:p w14:paraId="56406A5D" w14:textId="77777777" w:rsidR="00C529B7" w:rsidRPr="00A44ABE" w:rsidRDefault="00C529B7" w:rsidP="006244BE"/>
        </w:tc>
        <w:tc>
          <w:tcPr>
            <w:tcW w:w="1276" w:type="dxa"/>
            <w:vMerge/>
          </w:tcPr>
          <w:p w14:paraId="43FE20EE" w14:textId="38ACBFA2" w:rsidR="00C529B7" w:rsidRPr="00A44ABE" w:rsidRDefault="00C529B7" w:rsidP="006244BE"/>
        </w:tc>
        <w:tc>
          <w:tcPr>
            <w:tcW w:w="2835" w:type="dxa"/>
          </w:tcPr>
          <w:p w14:paraId="37E330B5" w14:textId="63CCD46C" w:rsidR="00C529B7" w:rsidRPr="006D332C" w:rsidRDefault="00C529B7" w:rsidP="006244BE">
            <w:r w:rsidRPr="00A44ABE">
              <w:t>Классификация индикатора</w:t>
            </w:r>
            <w:r>
              <w:t>, класс</w:t>
            </w:r>
          </w:p>
        </w:tc>
        <w:tc>
          <w:tcPr>
            <w:tcW w:w="3402" w:type="dxa"/>
            <w:shd w:val="clear" w:color="auto" w:fill="auto"/>
          </w:tcPr>
          <w:p w14:paraId="21D05FA1" w14:textId="57341F03" w:rsidR="00C529B7" w:rsidRPr="006D332C" w:rsidRDefault="00C529B7" w:rsidP="006244BE">
            <w:r>
              <w:t>Не менее четвертого</w:t>
            </w:r>
          </w:p>
        </w:tc>
        <w:tc>
          <w:tcPr>
            <w:tcW w:w="2977" w:type="dxa"/>
          </w:tcPr>
          <w:p w14:paraId="51F16F17" w14:textId="3A7B9ED7" w:rsidR="00C529B7" w:rsidRPr="006D332C" w:rsidRDefault="00C529B7" w:rsidP="006244BE">
            <w:pPr>
              <w:jc w:val="center"/>
              <w:rPr>
                <w:color w:val="000000"/>
                <w:kern w:val="3"/>
              </w:rPr>
            </w:pPr>
            <w:r w:rsidRPr="006D332C">
              <w:t>Неизменный показатель</w:t>
            </w:r>
          </w:p>
        </w:tc>
      </w:tr>
      <w:bookmarkEnd w:id="0"/>
    </w:tbl>
    <w:p w14:paraId="31DA189B" w14:textId="77777777" w:rsidR="004669C5" w:rsidRPr="006D332C" w:rsidRDefault="004669C5" w:rsidP="004669C5"/>
    <w:sectPr w:rsidR="004669C5" w:rsidRPr="006D332C" w:rsidSect="00FF0B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D"/>
    <w:rsid w:val="0006380C"/>
    <w:rsid w:val="00083927"/>
    <w:rsid w:val="000C7BD3"/>
    <w:rsid w:val="000F2EFC"/>
    <w:rsid w:val="00114A04"/>
    <w:rsid w:val="001769EA"/>
    <w:rsid w:val="001B7F3F"/>
    <w:rsid w:val="00205D47"/>
    <w:rsid w:val="0027151A"/>
    <w:rsid w:val="002848D9"/>
    <w:rsid w:val="0033072E"/>
    <w:rsid w:val="00392D22"/>
    <w:rsid w:val="00427A69"/>
    <w:rsid w:val="004669C5"/>
    <w:rsid w:val="0047375A"/>
    <w:rsid w:val="004911AE"/>
    <w:rsid w:val="004A6EB9"/>
    <w:rsid w:val="00546F77"/>
    <w:rsid w:val="005B5954"/>
    <w:rsid w:val="005C4335"/>
    <w:rsid w:val="006244BE"/>
    <w:rsid w:val="0068540B"/>
    <w:rsid w:val="00691B7C"/>
    <w:rsid w:val="006960E2"/>
    <w:rsid w:val="006D332C"/>
    <w:rsid w:val="006F43A3"/>
    <w:rsid w:val="00703DF9"/>
    <w:rsid w:val="00712407"/>
    <w:rsid w:val="007C0B6D"/>
    <w:rsid w:val="007F74C7"/>
    <w:rsid w:val="00801BCD"/>
    <w:rsid w:val="00887BA3"/>
    <w:rsid w:val="00891764"/>
    <w:rsid w:val="008B1DCA"/>
    <w:rsid w:val="008C7D91"/>
    <w:rsid w:val="008F4F8D"/>
    <w:rsid w:val="0090344B"/>
    <w:rsid w:val="00904B2C"/>
    <w:rsid w:val="00992CDD"/>
    <w:rsid w:val="009A6CC8"/>
    <w:rsid w:val="009B42F2"/>
    <w:rsid w:val="009F19BF"/>
    <w:rsid w:val="00A25CEC"/>
    <w:rsid w:val="00AC5491"/>
    <w:rsid w:val="00B519B2"/>
    <w:rsid w:val="00B5516A"/>
    <w:rsid w:val="00B62097"/>
    <w:rsid w:val="00B7501D"/>
    <w:rsid w:val="00B80659"/>
    <w:rsid w:val="00BF6746"/>
    <w:rsid w:val="00C529B7"/>
    <w:rsid w:val="00C668C2"/>
    <w:rsid w:val="00C82491"/>
    <w:rsid w:val="00C9389C"/>
    <w:rsid w:val="00CB5B21"/>
    <w:rsid w:val="00D07C36"/>
    <w:rsid w:val="00D91CF7"/>
    <w:rsid w:val="00DE37E1"/>
    <w:rsid w:val="00EE0D4D"/>
    <w:rsid w:val="00F27CA8"/>
    <w:rsid w:val="00F5297A"/>
    <w:rsid w:val="00F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F295"/>
  <w15:chartTrackingRefBased/>
  <w15:docId w15:val="{71824129-FFE2-4F45-8714-0C31FF99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Холод</dc:creator>
  <cp:keywords/>
  <dc:description/>
  <cp:lastModifiedBy>Быкасова Эльмира Нургалеевна</cp:lastModifiedBy>
  <cp:revision>14</cp:revision>
  <cp:lastPrinted>2025-06-20T06:08:00Z</cp:lastPrinted>
  <dcterms:created xsi:type="dcterms:W3CDTF">2025-06-11T03:24:00Z</dcterms:created>
  <dcterms:modified xsi:type="dcterms:W3CDTF">2025-07-15T09:51:00Z</dcterms:modified>
</cp:coreProperties>
</file>