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14" w:rsidRDefault="008D5A14" w:rsidP="00AD1AB6">
      <w:pPr>
        <w:jc w:val="right"/>
        <w:rPr>
          <w:rFonts w:ascii="Times New Roman" w:hAnsi="Times New Roman" w:cs="Times New Roman"/>
          <w:b/>
          <w:sz w:val="24"/>
        </w:rPr>
      </w:pPr>
    </w:p>
    <w:p w:rsidR="008D5A14" w:rsidRDefault="008D5A14" w:rsidP="00AD1AB6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№ 1</w:t>
      </w:r>
    </w:p>
    <w:p w:rsidR="00AD1AB6" w:rsidRPr="0015588F" w:rsidRDefault="00AD1AB6" w:rsidP="00AD1AB6">
      <w:pPr>
        <w:jc w:val="right"/>
        <w:rPr>
          <w:rFonts w:ascii="Times New Roman" w:hAnsi="Times New Roman" w:cs="Times New Roman"/>
          <w:b/>
          <w:sz w:val="24"/>
        </w:rPr>
      </w:pPr>
      <w:r w:rsidRPr="0015588F">
        <w:rPr>
          <w:rFonts w:ascii="Times New Roman" w:hAnsi="Times New Roman" w:cs="Times New Roman"/>
          <w:b/>
          <w:sz w:val="24"/>
        </w:rPr>
        <w:t xml:space="preserve">Техническое задание на поставку </w:t>
      </w:r>
      <w:r w:rsidR="008D5A14" w:rsidRPr="008D5A14">
        <w:rPr>
          <w:rFonts w:ascii="Times New Roman" w:hAnsi="Times New Roman" w:cs="Times New Roman"/>
          <w:b/>
          <w:sz w:val="24"/>
        </w:rPr>
        <w:t>лекарственных средств для ЦРС/ОМС АО МСЧ "Нефтяник" в 2026 году</w:t>
      </w:r>
    </w:p>
    <w:tbl>
      <w:tblPr>
        <w:tblpPr w:leftFromText="180" w:rightFromText="180" w:vertAnchor="text" w:tblpXSpec="center" w:tblpY="1"/>
        <w:tblOverlap w:val="never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4111"/>
        <w:gridCol w:w="850"/>
        <w:gridCol w:w="992"/>
        <w:gridCol w:w="6663"/>
      </w:tblGrid>
      <w:tr w:rsidR="00AD1AB6" w:rsidRPr="007C345B" w:rsidTr="008D5A14">
        <w:trPr>
          <w:trHeight w:val="1355"/>
          <w:tblHeader/>
        </w:trPr>
        <w:tc>
          <w:tcPr>
            <w:tcW w:w="704" w:type="dxa"/>
          </w:tcPr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Международное непатентованное наименование (МНН)</w:t>
            </w:r>
          </w:p>
        </w:tc>
        <w:tc>
          <w:tcPr>
            <w:tcW w:w="4111" w:type="dxa"/>
          </w:tcPr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Характеристики лекарственного средства</w:t>
            </w:r>
          </w:p>
        </w:tc>
        <w:tc>
          <w:tcPr>
            <w:tcW w:w="850" w:type="dxa"/>
          </w:tcPr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92" w:type="dxa"/>
          </w:tcPr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663" w:type="dxa"/>
          </w:tcPr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Функциональные и качественные характеристики объекта закупки </w:t>
            </w:r>
          </w:p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B6" w:rsidRPr="007C345B" w:rsidTr="008D5A14">
        <w:trPr>
          <w:trHeight w:val="3775"/>
        </w:trPr>
        <w:tc>
          <w:tcPr>
            <w:tcW w:w="704" w:type="dxa"/>
          </w:tcPr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1AB6" w:rsidRPr="007C345B" w:rsidRDefault="00AD1AB6" w:rsidP="008D5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4111" w:type="dxa"/>
          </w:tcPr>
          <w:p w:rsidR="00AD1AB6" w:rsidRPr="007C345B" w:rsidRDefault="00AD1AB6" w:rsidP="008D5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Лекарственная форма: раствор для </w:t>
            </w:r>
            <w:proofErr w:type="spellStart"/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7C345B">
              <w:rPr>
                <w:rFonts w:ascii="Times New Roman" w:hAnsi="Times New Roman" w:cs="Times New Roman"/>
                <w:sz w:val="20"/>
                <w:szCs w:val="20"/>
              </w:rPr>
              <w:t xml:space="preserve"> 10% (100мг/мл)</w:t>
            </w:r>
          </w:p>
          <w:p w:rsidR="00AD1AB6" w:rsidRPr="007C345B" w:rsidRDefault="00AD1AB6" w:rsidP="008D5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 xml:space="preserve">Дозировка: </w:t>
            </w:r>
            <w:r w:rsidRPr="007C34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10%</w:t>
            </w: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 xml:space="preserve"> (100 мг/мл)</w:t>
            </w:r>
          </w:p>
          <w:p w:rsidR="000B0188" w:rsidRPr="007C345B" w:rsidRDefault="00AD1AB6" w:rsidP="008D5A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 xml:space="preserve">Флаконы </w:t>
            </w:r>
            <w:r w:rsidRPr="007C34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 мл</w:t>
            </w:r>
          </w:p>
          <w:p w:rsidR="000B0188" w:rsidRPr="007C345B" w:rsidRDefault="000B0188" w:rsidP="008D5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на дату поставки не менее 12 мес.</w:t>
            </w:r>
          </w:p>
          <w:p w:rsidR="000B0188" w:rsidRPr="007C345B" w:rsidRDefault="00AD1AB6" w:rsidP="008D5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Стабилизатор: </w:t>
            </w:r>
            <w:r w:rsidR="000B0188" w:rsidRPr="007C34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натуральные аминокислоты: L-</w:t>
            </w:r>
            <w:proofErr w:type="spellStart"/>
            <w:r w:rsidR="000B0188" w:rsidRPr="007C34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пролин</w:t>
            </w:r>
            <w:proofErr w:type="spellEnd"/>
            <w:r w:rsidR="000B0188" w:rsidRPr="007C34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Отсутствие в качестве стабилизатора сахаросодержащих веществ.*</w:t>
            </w:r>
          </w:p>
          <w:p w:rsidR="00AD1AB6" w:rsidRPr="007C345B" w:rsidRDefault="00AD1AB6" w:rsidP="008D5A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 (в соответствии с подпунктом а) Пункта 6 Постановления №1380 от 15.11.2017) Обоснование прилагается.</w:t>
            </w:r>
          </w:p>
          <w:p w:rsidR="00AD1AB6" w:rsidRPr="007C345B" w:rsidRDefault="00AD1AB6" w:rsidP="008D5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</w:tcPr>
          <w:p w:rsidR="00AD1AB6" w:rsidRPr="007C345B" w:rsidRDefault="000B0188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D1AB6" w:rsidRPr="007C3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AD1AB6" w:rsidRPr="007C345B" w:rsidRDefault="00AD1AB6" w:rsidP="008D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0B0188" w:rsidRPr="007C345B" w:rsidRDefault="000B0188" w:rsidP="008D5A1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Показан к применению у пациентов с симптоматической </w:t>
            </w:r>
            <w:proofErr w:type="spellStart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>гипогаммаглобулинемией</w:t>
            </w:r>
            <w:proofErr w:type="spellEnd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>, вторичной по отношению к основному заболеванию или лечению.</w:t>
            </w:r>
          </w:p>
          <w:p w:rsidR="000B0188" w:rsidRPr="007C345B" w:rsidRDefault="000B0188" w:rsidP="008D5A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Согласно данным заказчика и сведениям из медицинской практики, опубликованным в открытых источниках, частота встречаемости осложнения - симптоматической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гипогаммаглобулинемии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пациентов с высоким риском развития инфекций (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иммунодефицитные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состояния, онкологические, ожоговые, хирургические больные, роженицы, дети с врожденными пороками развития, хромосомными заболеваниями, недоношенные и маловесные дети) может достигать от 30 % до 70%. Согласно крупного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когортного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исследования по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гипогаммаглобулинемии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, опубликованному в фев.2024 года, инфекционные заболевания развиваются у 69% пациентов, у 48% - респираторные инфекции и у 17% - тяжелые инфекции. В этом случае заместительная терапия иммуноглобулином, имеющим соответствующее показание к применению, должна проводиться в максимально ранние сроки и в достаточном объеме, поскольку она приводит к значительному снижению инфекций всех типов.</w:t>
            </w:r>
          </w:p>
          <w:p w:rsidR="00740776" w:rsidRPr="007C345B" w:rsidRDefault="000B0188" w:rsidP="008D5A1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Показан к применению у пациентов с хронической воспалительной </w:t>
            </w:r>
            <w:proofErr w:type="spellStart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>демиелинизирующей</w:t>
            </w:r>
            <w:proofErr w:type="spellEnd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>полинейропатией</w:t>
            </w:r>
            <w:proofErr w:type="spellEnd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(ХВДП), в связи с наличием пациентов с таким диагнозом/наличием неврологического отделения в стационаре</w:t>
            </w:r>
          </w:p>
          <w:p w:rsidR="00740776" w:rsidRPr="007C345B" w:rsidRDefault="00740776" w:rsidP="008D5A1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Иммуномодулирующая терапия при синдроме </w:t>
            </w:r>
            <w:proofErr w:type="spellStart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>Гийена-Барре</w:t>
            </w:r>
            <w:proofErr w:type="spellEnd"/>
          </w:p>
          <w:p w:rsidR="000437F5" w:rsidRPr="007C345B" w:rsidRDefault="000437F5" w:rsidP="008D5A14">
            <w:pPr>
              <w:pStyle w:val="a3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0188" w:rsidRPr="007C345B" w:rsidRDefault="008040F5" w:rsidP="008D5A1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В 1 мл препарата должно содержаться: белки плазмы человека, из которых иммуноглобулин G не менее 98%.</w:t>
            </w:r>
            <w:r w:rsidRPr="007C345B">
              <w:rPr>
                <w:rFonts w:ascii="Times New Roman" w:eastAsia="SimSun" w:hAnsi="Times New Roman" w:cs="Times New Roman"/>
                <w:sz w:val="20"/>
                <w:szCs w:val="20"/>
              </w:rPr>
              <w:t>Содержание иммуноглобулина G (</w:t>
            </w:r>
            <w:proofErr w:type="spellStart"/>
            <w:r w:rsidRPr="007C345B">
              <w:rPr>
                <w:rFonts w:ascii="Times New Roman" w:eastAsia="SimSun" w:hAnsi="Times New Roman" w:cs="Times New Roman"/>
                <w:sz w:val="20"/>
                <w:szCs w:val="20"/>
              </w:rPr>
              <w:t>IgG</w:t>
            </w:r>
            <w:proofErr w:type="spellEnd"/>
            <w:r w:rsidRPr="007C345B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- основной класс иммуноглобулинов), который обеспечивает защиту организма, является определяющим параметром для пациентов. Согласно мнению экспертов, </w:t>
            </w:r>
            <w:bookmarkStart w:id="0" w:name="_GoBack"/>
            <w:bookmarkEnd w:id="0"/>
            <w:r w:rsidRPr="007C345B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 xml:space="preserve">предпочтение должно отдаваться препаратам с наибольшим содержанием </w:t>
            </w:r>
            <w:proofErr w:type="spellStart"/>
            <w:r w:rsidRPr="007C345B">
              <w:rPr>
                <w:rFonts w:ascii="Times New Roman" w:eastAsia="SimSun" w:hAnsi="Times New Roman" w:cs="Times New Roman"/>
                <w:sz w:val="20"/>
                <w:szCs w:val="20"/>
              </w:rPr>
              <w:t>IgG</w:t>
            </w:r>
            <w:proofErr w:type="spellEnd"/>
            <w:r w:rsidRPr="007C345B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. Не рекомендуется применять препараты, в инструкциях которых не содержится четких сведений о содержании </w:t>
            </w:r>
            <w:proofErr w:type="spellStart"/>
            <w:r w:rsidRPr="007C345B">
              <w:rPr>
                <w:rFonts w:ascii="Times New Roman" w:eastAsia="SimSun" w:hAnsi="Times New Roman" w:cs="Times New Roman"/>
                <w:sz w:val="20"/>
                <w:szCs w:val="20"/>
              </w:rPr>
              <w:t>IgG</w:t>
            </w:r>
            <w:proofErr w:type="spellEnd"/>
            <w:r w:rsidRPr="007C345B">
              <w:rPr>
                <w:rFonts w:ascii="Times New Roman" w:eastAsia="SimSun" w:hAnsi="Times New Roman" w:cs="Times New Roman"/>
                <w:sz w:val="20"/>
                <w:szCs w:val="20"/>
              </w:rPr>
              <w:t>, ввиду невозможности точного расчета терапевтической дозы.</w:t>
            </w:r>
          </w:p>
          <w:p w:rsidR="00AD1AB6" w:rsidRPr="007C345B" w:rsidRDefault="000B0188" w:rsidP="008D5A1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</w:t>
            </w:r>
            <w:proofErr w:type="spellStart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>IgА</w:t>
            </w:r>
            <w:proofErr w:type="spellEnd"/>
            <w:r w:rsidRPr="007C34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препарате не должно превышать 200 мкг/мл, </w:t>
            </w:r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поскольку высокое содержание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IgA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препарате может являться причиной развития анафилакси</w:t>
            </w:r>
            <w:r w:rsidR="007C345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анафилактического шока у пациента с дефицитом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IgA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Согласно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опубликованноймеждународной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практике (напр.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Immunoglobulin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National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Society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при применении ВВИГ с содержанием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IgA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более 200 мкг/мл, существенно возрастает риск анафилактический реакций. Согласно действующим Клиническим рекомендациям (ID 735), пациентам с ПИД с преимущественной недостаточностью</w:t>
            </w:r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синтеза</w:t>
            </w:r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антител,</w:t>
            </w:r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нуждающимся в проведении</w:t>
            </w:r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заместительной</w:t>
            </w:r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терапии иммуноглобулином человека нормальным, не рекомендуется использовать препараты, не указывающие содержание </w:t>
            </w:r>
            <w:proofErr w:type="spellStart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IgA</w:t>
            </w:r>
            <w:proofErr w:type="spellEnd"/>
            <w:r w:rsidRPr="007C345B">
              <w:rPr>
                <w:rFonts w:ascii="Times New Roman" w:hAnsi="Times New Roman" w:cs="Times New Roman"/>
                <w:bCs/>
                <w:sz w:val="20"/>
                <w:szCs w:val="20"/>
              </w:rPr>
              <w:t>, для снижения риска развития тяжелых анафилактических реакций.</w:t>
            </w:r>
          </w:p>
        </w:tc>
      </w:tr>
    </w:tbl>
    <w:p w:rsidR="0015588F" w:rsidRPr="0015588F" w:rsidRDefault="008D5A14" w:rsidP="0015588F">
      <w:pPr>
        <w:tabs>
          <w:tab w:val="left" w:pos="8925"/>
        </w:tabs>
        <w:spacing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0"/>
        </w:rPr>
        <w:lastRenderedPageBreak/>
        <w:br w:type="textWrapping" w:clear="all"/>
      </w:r>
      <w:r w:rsidR="0015588F">
        <w:rPr>
          <w:rFonts w:ascii="Times New Roman" w:hAnsi="Times New Roman" w:cs="Times New Roman"/>
          <w:b/>
          <w:sz w:val="20"/>
        </w:rPr>
        <w:tab/>
      </w:r>
    </w:p>
    <w:p w:rsidR="0015588F" w:rsidRDefault="0015588F" w:rsidP="00AD1AB6">
      <w:pPr>
        <w:spacing w:line="288" w:lineRule="auto"/>
        <w:jc w:val="both"/>
        <w:rPr>
          <w:rFonts w:ascii="Times New Roman" w:hAnsi="Times New Roman" w:cs="Times New Roman"/>
          <w:b/>
          <w:sz w:val="20"/>
        </w:rPr>
      </w:pPr>
    </w:p>
    <w:p w:rsidR="00AD1AB6" w:rsidRPr="007C345B" w:rsidRDefault="00AD1AB6" w:rsidP="00AD1AB6">
      <w:pPr>
        <w:spacing w:line="288" w:lineRule="auto"/>
        <w:jc w:val="both"/>
        <w:rPr>
          <w:rFonts w:ascii="Times New Roman" w:hAnsi="Times New Roman" w:cs="Times New Roman"/>
          <w:b/>
          <w:sz w:val="20"/>
        </w:rPr>
      </w:pPr>
      <w:r w:rsidRPr="007C345B">
        <w:rPr>
          <w:rFonts w:ascii="Times New Roman" w:hAnsi="Times New Roman" w:cs="Times New Roman"/>
          <w:b/>
          <w:sz w:val="20"/>
        </w:rPr>
        <w:t xml:space="preserve">Обоснование согласовано в соответствии с </w:t>
      </w:r>
      <w:proofErr w:type="gramStart"/>
      <w:r w:rsidRPr="007C345B">
        <w:rPr>
          <w:rFonts w:ascii="Times New Roman" w:hAnsi="Times New Roman" w:cs="Times New Roman"/>
          <w:b/>
          <w:sz w:val="20"/>
        </w:rPr>
        <w:t>подпунктом</w:t>
      </w:r>
      <w:proofErr w:type="gramEnd"/>
      <w:r w:rsidRPr="007C345B">
        <w:rPr>
          <w:rFonts w:ascii="Times New Roman" w:hAnsi="Times New Roman" w:cs="Times New Roman"/>
          <w:b/>
          <w:sz w:val="20"/>
        </w:rPr>
        <w:t xml:space="preserve"> а) Пункта 6 Постановления №1380 от 15.11.2017):</w:t>
      </w:r>
    </w:p>
    <w:p w:rsidR="00AD1AB6" w:rsidRPr="007C345B" w:rsidRDefault="00AD1AB6" w:rsidP="00AD1AB6">
      <w:pPr>
        <w:spacing w:line="288" w:lineRule="auto"/>
        <w:jc w:val="both"/>
        <w:rPr>
          <w:rFonts w:ascii="Times New Roman" w:hAnsi="Times New Roman" w:cs="Times New Roman"/>
          <w:bCs/>
          <w:sz w:val="20"/>
        </w:rPr>
      </w:pPr>
      <w:r w:rsidRPr="007C345B">
        <w:rPr>
          <w:rFonts w:ascii="Times New Roman" w:hAnsi="Times New Roman" w:cs="Times New Roman"/>
          <w:bCs/>
          <w:sz w:val="20"/>
        </w:rPr>
        <w:t>Размещённые в рубрикаторе клинических рекомендаций МЗ РФ клинические рекомендации «Первичные иммунодефициты с преимущественной недостаточностью синтеза антител» (https://cr.minzdrav.gov.ru/schema/735_1):</w:t>
      </w:r>
    </w:p>
    <w:p w:rsidR="00AD1AB6" w:rsidRPr="007C345B" w:rsidRDefault="00AD1AB6" w:rsidP="00AD1AB6">
      <w:pPr>
        <w:spacing w:line="288" w:lineRule="auto"/>
        <w:jc w:val="both"/>
        <w:rPr>
          <w:rFonts w:ascii="Times New Roman" w:hAnsi="Times New Roman" w:cs="Times New Roman"/>
          <w:sz w:val="20"/>
        </w:rPr>
      </w:pPr>
      <w:r w:rsidRPr="007C345B">
        <w:rPr>
          <w:rFonts w:ascii="Times New Roman" w:hAnsi="Times New Roman" w:cs="Times New Roman"/>
          <w:sz w:val="20"/>
        </w:rPr>
        <w:t xml:space="preserve">* Пациентам с ПИД с преимущественной недостаточностью синтеза антител, с высоким риском развития почечной недостаточности (возраст старше 65 лет, почечная недостаточность в анамнез, сепсис, прием </w:t>
      </w:r>
      <w:proofErr w:type="spellStart"/>
      <w:r w:rsidRPr="007C345B">
        <w:rPr>
          <w:rFonts w:ascii="Times New Roman" w:hAnsi="Times New Roman" w:cs="Times New Roman"/>
          <w:sz w:val="20"/>
        </w:rPr>
        <w:t>нефротоксичных</w:t>
      </w:r>
      <w:proofErr w:type="spellEnd"/>
      <w:r w:rsidRPr="007C345B">
        <w:rPr>
          <w:rFonts w:ascii="Times New Roman" w:hAnsi="Times New Roman" w:cs="Times New Roman"/>
          <w:sz w:val="20"/>
        </w:rPr>
        <w:t xml:space="preserve"> препаратов, обезвоживание организма, </w:t>
      </w:r>
      <w:proofErr w:type="spellStart"/>
      <w:r w:rsidRPr="007C345B">
        <w:rPr>
          <w:rFonts w:ascii="Times New Roman" w:hAnsi="Times New Roman" w:cs="Times New Roman"/>
          <w:sz w:val="20"/>
        </w:rPr>
        <w:t>парапротеинемия</w:t>
      </w:r>
      <w:proofErr w:type="spellEnd"/>
      <w:r w:rsidRPr="007C345B">
        <w:rPr>
          <w:rFonts w:ascii="Times New Roman" w:hAnsi="Times New Roman" w:cs="Times New Roman"/>
          <w:sz w:val="20"/>
        </w:rPr>
        <w:t xml:space="preserve">) и/или заболеваниями сердечно-сосудистой системы и/или с повышенным риском тромбоэмболических заболеваний, нуждающимся в проведении заместительной терапии препаратами иммуноглобулина человека нормального**,рекомендуется использовать 10% растворы ВВИГ**  (для уменьшения объёма вводимой жидкости) или ПКИГ** с целью снижения развития риска нежелательных явлений. </w:t>
      </w:r>
    </w:p>
    <w:p w:rsidR="00AD1AB6" w:rsidRPr="007C345B" w:rsidRDefault="00740776" w:rsidP="00740776">
      <w:pPr>
        <w:rPr>
          <w:rFonts w:ascii="Times New Roman" w:hAnsi="Times New Roman" w:cs="Times New Roman"/>
          <w:sz w:val="20"/>
          <w:szCs w:val="20"/>
        </w:rPr>
      </w:pPr>
      <w:r w:rsidRPr="007C345B">
        <w:rPr>
          <w:rFonts w:ascii="Times New Roman" w:hAnsi="Times New Roman" w:cs="Times New Roman"/>
          <w:sz w:val="20"/>
          <w:szCs w:val="20"/>
        </w:rPr>
        <w:t>*Отсутствие в качестве стабилизатора сахаросодержащих веществ исключает риск ассоциированных нарушений функций почек и ложноположительного повышения концентрации глюкозы. По данным литературы, до 90% ВВИГ-ассоциированных нарушений функции почек связано с применением препаратов, содержащих сахарозу. Согласно мнению экспертов, наиболее безопасными стабилизаторами являются натуральные аминокислоты: глицин и L-</w:t>
      </w:r>
      <w:proofErr w:type="spellStart"/>
      <w:r w:rsidRPr="007C345B">
        <w:rPr>
          <w:rFonts w:ascii="Times New Roman" w:hAnsi="Times New Roman" w:cs="Times New Roman"/>
          <w:sz w:val="20"/>
          <w:szCs w:val="20"/>
        </w:rPr>
        <w:t>пролин</w:t>
      </w:r>
      <w:proofErr w:type="spellEnd"/>
      <w:r w:rsidRPr="007C345B">
        <w:rPr>
          <w:rFonts w:ascii="Times New Roman" w:hAnsi="Times New Roman" w:cs="Times New Roman"/>
          <w:sz w:val="20"/>
          <w:szCs w:val="20"/>
        </w:rPr>
        <w:t xml:space="preserve">. Необходимо учитывать, что при использовании препаратов, содержащих мальтозу, возможно ложноположительное повышение концентрации глюкозы, в связи с чем возможно неоправданное назначение инсулина с развитием гипогликемии у пациента или маскировка существующей у пациента гипогликемии). </w:t>
      </w:r>
    </w:p>
    <w:p w:rsidR="00AD1AB6" w:rsidRPr="007C345B" w:rsidRDefault="00AD1AB6" w:rsidP="00AD1AB6">
      <w:pPr>
        <w:spacing w:line="288" w:lineRule="auto"/>
        <w:jc w:val="both"/>
        <w:rPr>
          <w:rFonts w:ascii="Times New Roman" w:hAnsi="Times New Roman" w:cs="Times New Roman"/>
          <w:sz w:val="20"/>
        </w:rPr>
      </w:pPr>
      <w:r w:rsidRPr="007C345B">
        <w:rPr>
          <w:rFonts w:ascii="Times New Roman" w:hAnsi="Times New Roman" w:cs="Times New Roman"/>
          <w:sz w:val="20"/>
        </w:rPr>
        <w:lastRenderedPageBreak/>
        <w:t>Допускается предложение в заявке на участие в закупке лекарственных препаратов в первичной упаковке меньшего объѐма при условии пропорционального увеличения количества единиц поставляемых лекарственных препаратов, обеспечивающего сохранение общего объема (мл) и концентрации закупаемых лекарственных препаратов, определяемого как произведение объема первичной упаковки, указанного в столбце 3, и количества единиц, указанного в столбце 5.</w:t>
      </w:r>
    </w:p>
    <w:p w:rsidR="00AD1AB6" w:rsidRPr="007C345B" w:rsidRDefault="00AD1AB6" w:rsidP="00AD1AB6">
      <w:pPr>
        <w:spacing w:line="288" w:lineRule="auto"/>
        <w:jc w:val="both"/>
        <w:rPr>
          <w:rFonts w:ascii="Times New Roman" w:hAnsi="Times New Roman" w:cs="Times New Roman"/>
          <w:b/>
          <w:sz w:val="20"/>
        </w:rPr>
      </w:pPr>
      <w:r w:rsidRPr="007C345B">
        <w:rPr>
          <w:rFonts w:ascii="Times New Roman" w:hAnsi="Times New Roman" w:cs="Times New Roman"/>
          <w:b/>
          <w:sz w:val="20"/>
        </w:rPr>
        <w:t>Требование к потребительским свойствам раствора:</w:t>
      </w:r>
    </w:p>
    <w:p w:rsidR="00AD1AB6" w:rsidRPr="007C345B" w:rsidRDefault="00AD1AB6" w:rsidP="00AD1AB6">
      <w:pPr>
        <w:rPr>
          <w:rFonts w:ascii="Times New Roman" w:hAnsi="Times New Roman" w:cs="Times New Roman"/>
        </w:rPr>
      </w:pPr>
      <w:r w:rsidRPr="007C345B">
        <w:rPr>
          <w:rFonts w:ascii="Times New Roman" w:hAnsi="Times New Roman" w:cs="Times New Roman"/>
          <w:sz w:val="20"/>
        </w:rPr>
        <w:t xml:space="preserve">Минимальные ограничения по режиму хранения: хранить в защищенном от света месте при температуре </w:t>
      </w:r>
      <w:r w:rsidR="00740776" w:rsidRPr="007C345B">
        <w:rPr>
          <w:rFonts w:ascii="Times New Roman" w:hAnsi="Times New Roman" w:cs="Times New Roman"/>
          <w:sz w:val="20"/>
        </w:rPr>
        <w:t>не выше25</w:t>
      </w:r>
      <w:r w:rsidRPr="007C345B">
        <w:rPr>
          <w:rFonts w:ascii="Times New Roman" w:hAnsi="Times New Roman" w:cs="Times New Roman"/>
          <w:sz w:val="20"/>
        </w:rPr>
        <w:t>°С</w:t>
      </w:r>
      <w:r w:rsidR="00740776" w:rsidRPr="007C345B">
        <w:rPr>
          <w:rFonts w:ascii="Times New Roman" w:hAnsi="Times New Roman" w:cs="Times New Roman"/>
          <w:sz w:val="20"/>
        </w:rPr>
        <w:t>.</w:t>
      </w:r>
    </w:p>
    <w:sectPr w:rsidR="00AD1AB6" w:rsidRPr="007C345B" w:rsidSect="00AD1AB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14B"/>
    <w:multiLevelType w:val="hybridMultilevel"/>
    <w:tmpl w:val="D558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108"/>
    <w:multiLevelType w:val="hybridMultilevel"/>
    <w:tmpl w:val="921E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22E3"/>
    <w:multiLevelType w:val="hybridMultilevel"/>
    <w:tmpl w:val="56043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55C0F"/>
    <w:multiLevelType w:val="hybridMultilevel"/>
    <w:tmpl w:val="41F2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B6"/>
    <w:rsid w:val="000437F5"/>
    <w:rsid w:val="000B0188"/>
    <w:rsid w:val="000F6317"/>
    <w:rsid w:val="0015588F"/>
    <w:rsid w:val="00166427"/>
    <w:rsid w:val="003979F8"/>
    <w:rsid w:val="00577F8D"/>
    <w:rsid w:val="00581A03"/>
    <w:rsid w:val="005E3F95"/>
    <w:rsid w:val="00662DE1"/>
    <w:rsid w:val="00740776"/>
    <w:rsid w:val="007C345B"/>
    <w:rsid w:val="007E6F2A"/>
    <w:rsid w:val="008040F5"/>
    <w:rsid w:val="008D5A14"/>
    <w:rsid w:val="009927F5"/>
    <w:rsid w:val="00A10CC3"/>
    <w:rsid w:val="00AD1AB6"/>
    <w:rsid w:val="00C262F2"/>
    <w:rsid w:val="00EC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8ED6"/>
  <w15:docId w15:val="{7F5D0F12-B280-4E58-A3A1-14A1C605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dba777c-7033-4ab8-8a93-46304e7ee1b4}" enabled="0" method="" siteId="{6dba777c-7033-4ab8-8a93-46304e7ee1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закупки4</dc:creator>
  <cp:lastModifiedBy>закупки4</cp:lastModifiedBy>
  <cp:revision>3</cp:revision>
  <dcterms:created xsi:type="dcterms:W3CDTF">2026-02-08T10:20:00Z</dcterms:created>
  <dcterms:modified xsi:type="dcterms:W3CDTF">2026-02-08T10:22:00Z</dcterms:modified>
</cp:coreProperties>
</file>