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1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1" w:firstColumn="0" w:lastColumn="0" w:noHBand="0" w:val="0040"/>
      </w:tblPr>
      <w:tblGrid>
        <w:gridCol w:w="10196"/>
      </w:tblGrid>
      <w:tr>
        <w:trPr>
          <w:trHeight w:val="320" w:hRule="atLeast"/>
        </w:trPr>
        <w:tc>
          <w:tcPr>
            <w:tcW w:w="10196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/>
              <w:drawing>
                <wp:inline distT="0" distB="0" distL="0" distR="0">
                  <wp:extent cx="704850" cy="533400"/>
                  <wp:effectExtent l="0" t="0" r="0" b="0"/>
                  <wp:docPr id="1" name="Рисунок 1" descr="1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1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93" w:hRule="atLeast"/>
        </w:trPr>
        <w:tc>
          <w:tcPr>
            <w:tcW w:w="10196" w:type="dxa"/>
            <w:tcBorders/>
            <w:vAlign w:val="bottom"/>
          </w:tcPr>
          <w:p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ДЕПАРТАМЕНТ СОЦИАЛЬНОГО РАЗВИТИЯ</w:t>
            </w:r>
          </w:p>
          <w:p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ТЮМЕНСКОЙ ОБЛАСТИ</w:t>
            </w:r>
          </w:p>
          <w:p>
            <w:pPr>
              <w:pStyle w:val="NoSpacing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Департамент социального развития Тюменской области</w:t>
            </w:r>
          </w:p>
          <w:p>
            <w:pPr>
              <w:pStyle w:val="NoSpacing"/>
              <w:ind w:left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Автономное учреждение Тюменской области</w:t>
            </w:r>
          </w:p>
          <w:p>
            <w:pPr>
              <w:pStyle w:val="NoSpacing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«Центр помощи детям, оставшимся без</w:t>
            </w:r>
          </w:p>
          <w:p>
            <w:pPr>
              <w:pStyle w:val="NoSpacing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попечения родителей «Дом детства»»</w:t>
            </w:r>
          </w:p>
          <w:p>
            <w:pPr>
              <w:pStyle w:val="NoSpacing"/>
              <w:ind w:left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(АУ ТО «Дом детства»)</w:t>
            </w:r>
          </w:p>
          <w:p>
            <w:pPr>
              <w:pStyle w:val="NoSpacing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ул.Семена Ремезова, д. 70, стр.1, г. Тобольск, Тюменская область, 626150, тел 8 (3456)25-91-02</w:t>
            </w:r>
          </w:p>
          <w:p>
            <w:pPr>
              <w:pStyle w:val="Normal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E-mail: </w:t>
            </w:r>
            <w:hyperlink r:id="rId3">
              <w:r>
                <w:rPr>
                  <w:rStyle w:val="Hyperlink"/>
                  <w:lang w:val="en-US"/>
                </w:rPr>
                <w:t xml:space="preserve"> dom_detstva@obl72.ru </w:t>
              </w:r>
              <w:r>
                <w:rPr>
                  <w:rStyle w:val="Hyperlink"/>
                </w:rPr>
                <w:t>ИНН</w:t>
              </w:r>
              <w:r>
                <w:rPr>
                  <w:rStyle w:val="Hyperlink"/>
                  <w:lang w:val="en-US"/>
                </w:rPr>
                <w:t>/</w:t>
              </w:r>
              <w:r>
                <w:rPr>
                  <w:rStyle w:val="Hyperlink"/>
                </w:rPr>
                <w:t>КПП</w:t>
              </w:r>
              <w:r>
                <w:rPr>
                  <w:rStyle w:val="Hyperlink"/>
                  <w:lang w:val="en-US"/>
                </w:rPr>
                <w:t xml:space="preserve"> 7206062170/720601001</w:t>
              </w:r>
            </w:hyperlink>
          </w:p>
          <w:p>
            <w:pPr>
              <w:pStyle w:val="Normal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Исх. 1</w:t>
      </w:r>
      <w:r>
        <w:rPr>
          <w:rFonts w:cs="Arial" w:ascii="Arial" w:hAnsi="Arial"/>
          <w:sz w:val="20"/>
          <w:szCs w:val="20"/>
        </w:rPr>
        <w:t>8</w:t>
      </w:r>
      <w:r>
        <w:rPr>
          <w:rFonts w:cs="Arial" w:ascii="Arial" w:hAnsi="Arial"/>
          <w:sz w:val="20"/>
          <w:szCs w:val="20"/>
        </w:rPr>
        <w:t>.05.2026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FFFFFF" w:val="clear"/>
        </w:rPr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b/>
          <w:bCs/>
          <w:color w:val="000000"/>
          <w:sz w:val="20"/>
          <w:szCs w:val="20"/>
          <w:shd w:fill="FFFFFF" w:val="clear"/>
        </w:rPr>
        <w:t>Запрос коммерческого предложения</w:t>
      </w:r>
    </w:p>
    <w:p>
      <w:pPr>
        <w:pStyle w:val="Normal"/>
        <w:jc w:val="center"/>
        <w:rPr>
          <w:rFonts w:ascii="Arial" w:hAnsi="Arial" w:cs="Arial"/>
          <w:color w:val="000000"/>
          <w:sz w:val="26"/>
          <w:szCs w:val="26"/>
          <w:shd w:fill="FFFFFF" w:val="clear"/>
        </w:rPr>
      </w:pPr>
      <w:r>
        <w:rPr>
          <w:rFonts w:cs="Arial" w:ascii="Arial" w:hAnsi="Arial"/>
          <w:color w:val="000000"/>
          <w:sz w:val="26"/>
          <w:szCs w:val="26"/>
          <w:shd w:fill="FFFFFF" w:val="clear"/>
        </w:rPr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В целях заключения договора на поставку продуктов питания, прошу направить информацию (коммерческое предложение) согласно таблице на эл.почту </w:t>
      </w:r>
      <w:r>
        <w:rPr>
          <w:rStyle w:val="Hyperlink"/>
          <w:rFonts w:cs="Arial" w:ascii="Arial" w:hAnsi="Arial"/>
          <w:sz w:val="20"/>
          <w:szCs w:val="20"/>
          <w:shd w:fill="FFFFFF" w:val="clear"/>
        </w:rPr>
        <w:t xml:space="preserve">sevryukovatyu@obl72.ru </w:t>
      </w:r>
      <w:r>
        <w:rPr>
          <w:rStyle w:val="Hyperlink"/>
          <w:rFonts w:cs="Arial" w:ascii="Arial" w:hAnsi="Arial"/>
          <w:b/>
          <w:bCs/>
          <w:color w:val="C9211E"/>
          <w:sz w:val="20"/>
          <w:szCs w:val="20"/>
          <w:u w:val="single"/>
          <w:shd w:fill="FFFFFF" w:val="clear"/>
        </w:rPr>
        <w:t>в срок до 20.05.2026</w:t>
      </w:r>
      <w:r>
        <w:rPr>
          <w:rFonts w:cs="Arial" w:ascii="Arial" w:hAnsi="Arial"/>
          <w:b/>
          <w:bCs/>
          <w:color w:val="C9211E"/>
          <w:sz w:val="20"/>
          <w:szCs w:val="20"/>
          <w:u w:val="single"/>
          <w:shd w:fill="FFFFFF" w:val="clear"/>
        </w:rPr>
        <w:t>: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КАЧЕСТВО, МАРКИРОВКА ТОВАРА: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1. Качество товара должно соответствовать ГОСТам, ТУ, СТО, ТШ, ТР, ТС на данный вид товара строго заявленные Покупателем в спецификации и подтверждаться имеющимися сертификатами качества, декларациями и протоколами испытаний, подтверждающие достоверность информации: «без ГМО», «не содержит ГМО» выданными заводом производителем. 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2. Копии сертификатов, заверенных надлежащим образом, подлежат передаче одновременно с передачей Товара. 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3. Качество товара должно соответствовать виду (классу), установленному в Техническом задании. Товар по показателям безопасности и пищевой ценности должен соответствовать единым санитарно-эпидемиологическим и гигиеническим требованиям к продукции (товару), подлежащей санитарно-эпидемиологическому надзору(контролю) (утверждены Решением Комиссии Таможенного союза от 28.05.2010 №299 «О применении санитарных мер в Евразийском экономическом союзе), Техническому регламенту Таможенного союза ТР ТС 021/2011 «О безопасности пищевой продукции» (утвержден Решением Комиссии Таможенного союза от 09.12.2011 № 880).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4. Товар должен иметь маркировку и содержать информацию в соответствии с требованиями действующего законодательства Российской Федерации и спецификации.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СРОКИ И УСЛОВИЯ ПОСТАВКИ ТОВАРА: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1. Поставка Товара осуществляется с даты заключения договора по 31.12.2026 по заявкам Покупателя 3 (три) раза в неделю (понедельник, среда, пятница) до 12.00 часов.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2. Место поставки товара: Тюменская область, г.Тобольск, улица Семена Ремезова, 70, строение 1.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3. Товар должен быть упакован в тару и упаковку, обеспечивающую сохранность Товара при перевозке и проведении погрузочно-разгрузочных работ.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 xml:space="preserve">4. При поставке тара и упаковка не должны иметь признаков повреждения, ржавчины, вмятин и нарушения целостности. 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5. Поставка продуктов, требующих соблюдение температурного режима осуществляется автотранспортом с фургоном рефрижератором.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  <w:t>6. Поставщик должен быть зарегистрированным в государственной информационной системе Меркурий (далее- ГИС Меркурий) и добросовестно фиксировать оборот (производство, перемещение, передача Покупателю) подконтрольных товаров;</w:t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Fonts w:cs="Arial" w:ascii="Arial" w:hAnsi="Arial"/>
          <w:color w:val="000000"/>
          <w:sz w:val="20"/>
          <w:szCs w:val="20"/>
          <w:shd w:fill="FFFFFF" w:val="clear"/>
        </w:rPr>
      </w:r>
    </w:p>
    <w:p>
      <w:pPr>
        <w:pStyle w:val="Normal"/>
        <w:ind w:firstLine="708"/>
        <w:jc w:val="both"/>
        <w:rPr>
          <w:rFonts w:ascii="Arial" w:hAnsi="Arial" w:cs="Arial"/>
          <w:color w:val="000000"/>
          <w:sz w:val="20"/>
          <w:szCs w:val="20"/>
          <w:shd w:fill="FFFFFF" w:val="clear"/>
        </w:rPr>
      </w:pPr>
      <w:r>
        <w:rPr>
          <w:rStyle w:val="Style18"/>
          <w:rFonts w:cs="Arial" w:ascii="Arial" w:hAnsi="Arial"/>
          <w:color w:val="000000"/>
          <w:sz w:val="20"/>
          <w:szCs w:val="20"/>
          <w:shd w:fill="FFFFFF" w:val="clear"/>
        </w:rPr>
        <w:t>Сбор данной информации не влечет за собой возникновение каких-либо обязательств Заказчика.</w:t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  <w:bookmarkStart w:id="0" w:name="_GoBack"/>
      <w:bookmarkStart w:id="1" w:name="_GoBack"/>
      <w:bookmarkEnd w:id="1"/>
    </w:p>
    <w:tbl>
      <w:tblPr>
        <w:tblW w:w="1033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"/>
        <w:gridCol w:w="1247"/>
        <w:gridCol w:w="6405"/>
        <w:gridCol w:w="778"/>
        <w:gridCol w:w="1561"/>
      </w:tblGrid>
      <w:tr>
        <w:trPr>
          <w:cantSplit w:val="true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/>
              <w:snapToGrid w:val="false"/>
              <w:ind w:left="-113" w:righ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Качественные характеристики товара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Ед.</w:t>
            </w:r>
          </w:p>
          <w:p>
            <w:pPr>
              <w:pStyle w:val="Normal"/>
              <w:keepLines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Изм.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Цена за ед., руб.</w:t>
            </w:r>
          </w:p>
        </w:tc>
      </w:tr>
      <w:tr>
        <w:trPr>
          <w:trHeight w:val="2277" w:hRule="atLeast"/>
          <w:cantSplit w:val="true"/>
        </w:trPr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/>
              <w:ind w:left="-113" w:righ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Творог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10.51.40.300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16"/>
                <w:szCs w:val="16"/>
              </w:rPr>
              <w:t xml:space="preserve">Массовая доля жира </w:t>
            </w:r>
            <w:r>
              <w:rPr>
                <w:sz w:val="16"/>
                <w:szCs w:val="16"/>
              </w:rPr>
              <w:t xml:space="preserve">не менее </w:t>
            </w:r>
            <w:r>
              <w:rPr>
                <w:sz w:val="16"/>
                <w:szCs w:val="16"/>
              </w:rPr>
              <w:t xml:space="preserve">9%. </w:t>
            </w:r>
            <w:r>
              <w:rPr>
                <w:color w:val="000000"/>
                <w:sz w:val="16"/>
                <w:szCs w:val="16"/>
              </w:rPr>
              <w:t xml:space="preserve">Массовая доля белка </w:t>
            </w:r>
            <w:r>
              <w:rPr>
                <w:color w:val="000000"/>
                <w:sz w:val="16"/>
                <w:szCs w:val="16"/>
              </w:rPr>
              <w:t xml:space="preserve">не менее </w:t>
            </w:r>
            <w:r>
              <w:rPr>
                <w:color w:val="000000"/>
                <w:sz w:val="16"/>
                <w:szCs w:val="16"/>
              </w:rPr>
              <w:t xml:space="preserve">16,0%. </w:t>
            </w:r>
            <w:r>
              <w:rPr>
                <w:sz w:val="16"/>
                <w:szCs w:val="16"/>
              </w:rPr>
              <w:t xml:space="preserve">Срок годности: </w:t>
            </w:r>
            <w:r>
              <w:rPr>
                <w:sz w:val="16"/>
                <w:szCs w:val="16"/>
              </w:rPr>
              <w:t xml:space="preserve">не более </w:t>
            </w:r>
            <w:r>
              <w:rPr>
                <w:sz w:val="16"/>
                <w:szCs w:val="16"/>
              </w:rPr>
              <w:t xml:space="preserve">25 суток.  </w:t>
            </w:r>
            <w:r>
              <w:rPr>
                <w:color w:val="000000"/>
                <w:sz w:val="16"/>
                <w:szCs w:val="16"/>
              </w:rPr>
              <w:t xml:space="preserve">Соответствует ГОСТ 31453-2013. ТР ТС 021/2011 033/2013 </w:t>
            </w:r>
            <w:r>
              <w:rPr>
                <w:color w:val="000000"/>
                <w:sz w:val="16"/>
                <w:szCs w:val="16"/>
              </w:rPr>
              <w:t>029/2012 022/2011 005/2011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A"/>
                <w:sz w:val="16"/>
                <w:szCs w:val="16"/>
                <w:lang w:eastAsia="ru-RU"/>
              </w:rPr>
              <w:t>ТУ/СТО  производителя, соответствующего характеристикам:</w:t>
            </w:r>
          </w:p>
          <w:p>
            <w:pPr>
              <w:pStyle w:val="Normal"/>
              <w:ind w:right="-39"/>
              <w:jc w:val="both"/>
              <w:rPr/>
            </w:pPr>
            <w:r>
              <w:rPr>
                <w:color w:val="000000"/>
                <w:sz w:val="16"/>
                <w:szCs w:val="16"/>
              </w:rPr>
              <w:t xml:space="preserve">Жировая фаза продукта должна содержать только молочный жир.  Массовая доля влаги не более 73%. </w:t>
            </w:r>
            <w:r>
              <w:rPr>
                <w:sz w:val="16"/>
                <w:szCs w:val="16"/>
              </w:rPr>
              <w:t>Упаковка весом 0,350 кг. Изготовлен из цельного, нормализованного молока.</w:t>
            </w:r>
            <w:r>
              <w:rPr>
                <w:color w:val="000000"/>
                <w:sz w:val="16"/>
                <w:szCs w:val="16"/>
              </w:rPr>
              <w:t xml:space="preserve"> Температура продукта при выпуске с предприятия 4С плюс-минус 2С.</w:t>
            </w:r>
          </w:p>
          <w:p>
            <w:pPr>
              <w:pStyle w:val="Normal"/>
              <w:jc w:val="both"/>
              <w:rPr/>
            </w:pPr>
            <w:r>
              <w:rPr>
                <w:sz w:val="16"/>
                <w:szCs w:val="16"/>
              </w:rPr>
              <w:t>Внешний вид и консистенция: мягкая, мажущаяся или рассыпчатая с наличием или без ощутимых частиц молочного белка. Вкус и запах: чистые, кисломолочные, без посторонних привкусов и запахов. Для продукта из восстановленного молока с привкусом сухого молока. Цвет: белый или с кремовым оттенком, равномерный по всей массе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b/>
                <w:bCs/>
                <w:color w:val="000000"/>
                <w:sz w:val="16"/>
                <w:szCs w:val="16"/>
              </w:rPr>
              <w:t>Остаточный срок годности не менее 90% на момент поставки товара.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/>
              <w:snapToGrid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445" w:hRule="atLeast"/>
          <w:cantSplit w:val="true"/>
        </w:trPr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/>
              <w:ind w:left="-113" w:righ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Масло сливочное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10.51.30.100</w:t>
            </w:r>
          </w:p>
        </w:tc>
        <w:tc>
          <w:tcPr>
            <w:tcW w:w="6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z w:val="16"/>
                <w:szCs w:val="16"/>
              </w:rPr>
              <w:t xml:space="preserve">Массовая доля жира </w:t>
            </w:r>
            <w:r>
              <w:rPr>
                <w:color w:val="000000"/>
                <w:sz w:val="16"/>
                <w:szCs w:val="16"/>
              </w:rPr>
              <w:t xml:space="preserve">не менее </w:t>
            </w:r>
            <w:r>
              <w:rPr>
                <w:color w:val="000000"/>
                <w:sz w:val="16"/>
                <w:szCs w:val="16"/>
              </w:rPr>
              <w:t xml:space="preserve">72,5%. Соответствие ГОСТ 32261-2013. ТР ТС 021/2011 033/2013 </w:t>
            </w:r>
            <w:r>
              <w:rPr>
                <w:color w:val="000000"/>
                <w:sz w:val="16"/>
                <w:szCs w:val="16"/>
              </w:rPr>
              <w:t>029/2012 022/2011 005/2011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A"/>
                <w:sz w:val="16"/>
                <w:szCs w:val="16"/>
                <w:lang w:eastAsia="ru-RU"/>
              </w:rPr>
              <w:t>ТУ/СТО  производителя, соответствующего характеристикам:</w:t>
            </w:r>
          </w:p>
          <w:p>
            <w:pPr>
              <w:pStyle w:val="Normal"/>
              <w:ind w:right="-39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Жировая фаза продукта должна содержать только молочный жир. Упаковка: </w:t>
            </w:r>
            <w:r>
              <w:rPr>
                <w:color w:val="000000"/>
                <w:sz w:val="16"/>
                <w:szCs w:val="16"/>
              </w:rPr>
              <w:t xml:space="preserve">не более </w:t>
            </w:r>
            <w:r>
              <w:rPr>
                <w:color w:val="000000"/>
                <w:sz w:val="16"/>
                <w:szCs w:val="16"/>
              </w:rPr>
              <w:t>0,2 кг.</w:t>
            </w:r>
          </w:p>
          <w:p>
            <w:pPr>
              <w:pStyle w:val="Normal"/>
              <w:jc w:val="both"/>
              <w:rPr/>
            </w:pPr>
            <w:r>
              <w:rPr>
                <w:color w:val="000000"/>
                <w:sz w:val="16"/>
                <w:szCs w:val="16"/>
              </w:rPr>
              <w:t xml:space="preserve">Сорт высший; сладко-сливочное; несоленое; крестьянское. Внешний вид и консистенция плотная, пластичная, однородная или недостаточно плотная и пластичная. Поверхность на срезе блестящая, сухая на вид. Допускается слабо-блестящая или матовая поверхность с наличием мелких капелек влаги. Цвет: от светло-желтого до желтого, однородный по всей массе. Не допускается горький, прогорклый вкус и запах. Срок годности при температуре не выше минус 18С  и относительной влажности воздуха от 80% до 90% 120 суток. При поставке температура в толще продукта не выше плюс 3С. </w:t>
            </w:r>
            <w:r>
              <w:rPr>
                <w:b/>
                <w:bCs/>
                <w:color w:val="000000"/>
                <w:sz w:val="16"/>
                <w:szCs w:val="16"/>
              </w:rPr>
              <w:t>Остаточный срок годности не менее 90% на момент поставки товара.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кг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Lines/>
              <w:snapToGrid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</w:tbl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ListParagraph"/>
        <w:ind w:left="284"/>
        <w:jc w:val="both"/>
        <w:rPr>
          <w:rFonts w:ascii="Arial" w:hAnsi="Arial" w:cs="Arial"/>
          <w:color w:val="000000"/>
          <w:sz w:val="26"/>
          <w:szCs w:val="26"/>
          <w:shd w:fill="FFFFFF" w:val="clear"/>
        </w:rPr>
      </w:pPr>
      <w:r>
        <w:rPr>
          <w:rFonts w:cs="Arial" w:ascii="Arial" w:hAnsi="Arial"/>
          <w:color w:val="000000"/>
          <w:sz w:val="26"/>
          <w:szCs w:val="26"/>
          <w:shd w:fill="FFFFFF" w:val="clear"/>
        </w:rPr>
        <w:t>_________                                                          ________     ______________</w:t>
      </w:r>
    </w:p>
    <w:p>
      <w:pPr>
        <w:pStyle w:val="ListParagraph"/>
        <w:tabs>
          <w:tab w:val="clear" w:pos="708"/>
          <w:tab w:val="left" w:pos="6323" w:leader="none"/>
          <w:tab w:val="left" w:pos="8152" w:leader="none"/>
        </w:tabs>
        <w:ind w:left="284"/>
        <w:jc w:val="both"/>
        <w:rPr>
          <w:rFonts w:ascii="Arial" w:hAnsi="Arial" w:cs="Arial"/>
          <w:color w:val="000000"/>
          <w:sz w:val="16"/>
          <w:szCs w:val="16"/>
          <w:shd w:fill="FFFFFF" w:val="clear"/>
        </w:rPr>
      </w:pPr>
      <w:r>
        <w:rPr>
          <w:rFonts w:cs="Arial" w:ascii="Arial" w:hAnsi="Arial"/>
          <w:color w:val="000000"/>
          <w:sz w:val="16"/>
          <w:szCs w:val="16"/>
          <w:shd w:fill="FFFFFF" w:val="clear"/>
        </w:rPr>
        <w:t>должность                                                                                                             подпись</w:t>
        <w:tab/>
        <w:t>ФИО</w:t>
      </w:r>
    </w:p>
    <w:sectPr>
      <w:type w:val="nextPage"/>
      <w:pgSz w:w="11906" w:h="16838"/>
      <w:pgMar w:left="709" w:right="850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5c9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2"/>
    <w:qFormat/>
    <w:rsid w:val="00f76952"/>
    <w:pPr>
      <w:keepNext w:val="true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f76952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f76952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qFormat/>
    <w:rsid w:val="002c5c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2c5c98"/>
    <w:rPr>
      <w:color w:val="0000FF"/>
      <w:u w:val="single"/>
    </w:rPr>
  </w:style>
  <w:style w:type="character" w:styleId="1" w:customStyle="1">
    <w:name w:val="Стиль1 Знак"/>
    <w:link w:val="13"/>
    <w:qFormat/>
    <w:rsid w:val="002c5c9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BalloonText"/>
    <w:qFormat/>
    <w:rsid w:val="002c5c98"/>
    <w:rPr>
      <w:rFonts w:ascii="Segoe UI" w:hAnsi="Segoe UI" w:eastAsia="Times New Roman" w:cs="Segoe UI"/>
      <w:sz w:val="18"/>
      <w:szCs w:val="18"/>
      <w:lang w:eastAsia="ru-RU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9d7704"/>
    <w:rPr>
      <w:color w:val="605E5C"/>
      <w:shd w:fill="E1DFDD" w:val="clear"/>
    </w:rPr>
  </w:style>
  <w:style w:type="character" w:styleId="12" w:customStyle="1">
    <w:name w:val="Заголовок 1 Знак"/>
    <w:basedOn w:val="DefaultParagraphFont"/>
    <w:qFormat/>
    <w:rsid w:val="00f76952"/>
    <w:rPr>
      <w:rFonts w:ascii="Times New Roman" w:hAnsi="Times New Roman" w:eastAsia="Times New Roman" w:cs="Times New Roman"/>
      <w:sz w:val="32"/>
      <w:szCs w:val="32"/>
      <w:lang w:eastAsia="ru-RU"/>
    </w:rPr>
  </w:style>
  <w:style w:type="character" w:styleId="2" w:customStyle="1">
    <w:name w:val="Заголовок 2 Знак"/>
    <w:basedOn w:val="DefaultParagraphFont"/>
    <w:qFormat/>
    <w:rsid w:val="00f76952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semiHidden/>
    <w:qFormat/>
    <w:rsid w:val="00f76952"/>
    <w:rPr>
      <w:rFonts w:ascii="Cambria" w:hAnsi="Cambria" w:eastAsia="Times New Roman" w:cs="Times New Roman"/>
      <w:b/>
      <w:bCs/>
      <w:sz w:val="26"/>
      <w:szCs w:val="26"/>
      <w:lang w:val="x-none" w:eastAsia="x-none"/>
    </w:rPr>
  </w:style>
  <w:style w:type="character" w:styleId="Style13" w:customStyle="1">
    <w:name w:val="Основной текст с отступом Знак"/>
    <w:basedOn w:val="DefaultParagraphFont"/>
    <w:qFormat/>
    <w:rsid w:val="00f76952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4" w:customStyle="1">
    <w:name w:val="Цветовое выделение"/>
    <w:qFormat/>
    <w:rsid w:val="00f76952"/>
    <w:rPr>
      <w:b/>
      <w:bCs/>
      <w:color w:val="26282F"/>
    </w:rPr>
  </w:style>
  <w:style w:type="character" w:styleId="Style15" w:customStyle="1">
    <w:name w:val="Гипертекстовая ссылка"/>
    <w:qFormat/>
    <w:rsid w:val="00f76952"/>
    <w:rPr>
      <w:b/>
      <w:bCs/>
      <w:color w:val="106BBE"/>
    </w:rPr>
  </w:style>
  <w:style w:type="character" w:styleId="HTMLCite">
    <w:name w:val="HTML Cite"/>
    <w:qFormat/>
    <w:rsid w:val="00f76952"/>
    <w:rPr>
      <w:i/>
      <w:iCs/>
    </w:rPr>
  </w:style>
  <w:style w:type="character" w:styleId="Style16" w:customStyle="1">
    <w:name w:val="Верхний колонтитул Знак"/>
    <w:basedOn w:val="DefaultParagraphFont"/>
    <w:qFormat/>
    <w:rsid w:val="00f7695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f76952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pple-converted-space" w:customStyle="1">
    <w:name w:val="apple-converted-space"/>
    <w:basedOn w:val="DefaultParagraphFont"/>
    <w:qFormat/>
    <w:rsid w:val="00f76952"/>
    <w:rPr/>
  </w:style>
  <w:style w:type="character" w:styleId="FontStyle12" w:customStyle="1">
    <w:name w:val="Font Style12"/>
    <w:uiPriority w:val="99"/>
    <w:qFormat/>
    <w:rsid w:val="00f76952"/>
    <w:rPr>
      <w:rFonts w:ascii="Times New Roman" w:hAnsi="Times New Roman" w:cs="Times New Roman"/>
      <w:sz w:val="22"/>
      <w:szCs w:val="22"/>
    </w:rPr>
  </w:style>
  <w:style w:type="character" w:styleId="Strong">
    <w:name w:val="Strong"/>
    <w:uiPriority w:val="22"/>
    <w:qFormat/>
    <w:rsid w:val="00f76952"/>
    <w:rPr>
      <w:b/>
      <w:bCs/>
    </w:rPr>
  </w:style>
  <w:style w:type="character" w:styleId="Exact" w:customStyle="1">
    <w:name w:val="Основной текст Exact"/>
    <w:qFormat/>
    <w:rsid w:val="00f76952"/>
    <w:rPr>
      <w:rFonts w:ascii="Times New Roman" w:hAnsi="Times New Roman" w:cs="Times New Roman"/>
      <w:strike w:val="false"/>
      <w:dstrike w:val="false"/>
      <w:sz w:val="18"/>
      <w:szCs w:val="18"/>
      <w:u w:val="none"/>
      <w:effect w:val="none"/>
    </w:rPr>
  </w:style>
  <w:style w:type="character" w:styleId="21" w:customStyle="1">
    <w:name w:val="Основной текст (2)_"/>
    <w:link w:val="212"/>
    <w:qFormat/>
    <w:locked/>
    <w:rsid w:val="00f76952"/>
    <w:rPr>
      <w:b/>
      <w:bCs/>
      <w:shd w:fill="FFFFFF" w:val="clear"/>
    </w:rPr>
  </w:style>
  <w:style w:type="character" w:styleId="S10" w:customStyle="1">
    <w:name w:val="s_10"/>
    <w:qFormat/>
    <w:rsid w:val="00f76952"/>
    <w:rPr/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f76952"/>
    <w:rPr>
      <w:color w:val="605E5C"/>
      <w:shd w:fill="E1DFDD" w:val="clear"/>
    </w:rPr>
  </w:style>
  <w:style w:type="character" w:styleId="Style18">
    <w:name w:val="Основной шрифт абзаца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11"/>
    <w:rsid w:val="002c5c98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13" w:customStyle="1">
    <w:name w:val="Стиль1"/>
    <w:basedOn w:val="BodyText"/>
    <w:link w:val="1"/>
    <w:qFormat/>
    <w:rsid w:val="002c5c98"/>
    <w:pPr>
      <w:jc w:val="center"/>
    </w:pPr>
    <w:rPr>
      <w:b/>
    </w:rPr>
  </w:style>
  <w:style w:type="paragraph" w:styleId="BalloonText">
    <w:name w:val="Balloon Text"/>
    <w:basedOn w:val="Normal"/>
    <w:link w:val="Style12"/>
    <w:unhideWhenUsed/>
    <w:qFormat/>
    <w:rsid w:val="002c5c98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4333"/>
    <w:pPr>
      <w:spacing w:before="0" w:after="0"/>
      <w:ind w:left="720"/>
      <w:contextualSpacing/>
    </w:pPr>
    <w:rPr/>
  </w:style>
  <w:style w:type="paragraph" w:styleId="NoSpacing">
    <w:name w:val="No Spacing"/>
    <w:basedOn w:val="Normal"/>
    <w:uiPriority w:val="1"/>
    <w:qFormat/>
    <w:rsid w:val="00cd1205"/>
    <w:pPr>
      <w:ind w:left="2160"/>
    </w:pPr>
    <w:rPr>
      <w:rFonts w:ascii="Calibri" w:hAnsi="Calibri" w:eastAsia="Calibri"/>
      <w:color w:val="5A5A5A"/>
      <w:sz w:val="20"/>
      <w:szCs w:val="20"/>
      <w:lang w:eastAsia="en-US"/>
    </w:rPr>
  </w:style>
  <w:style w:type="paragraph" w:styleId="BodyTextIndent">
    <w:name w:val="Body Text Indent"/>
    <w:basedOn w:val="Normal"/>
    <w:link w:val="Style13"/>
    <w:rsid w:val="00f76952"/>
    <w:pPr>
      <w:jc w:val="both"/>
    </w:pPr>
    <w:rPr>
      <w:sz w:val="28"/>
      <w:szCs w:val="28"/>
    </w:rPr>
  </w:style>
  <w:style w:type="paragraph" w:styleId="Style131" w:customStyle="1">
    <w:name w:val="Style13"/>
    <w:basedOn w:val="Normal"/>
    <w:qFormat/>
    <w:rsid w:val="00f76952"/>
    <w:pPr>
      <w:widowControl w:val="false"/>
      <w:spacing w:lineRule="exact" w:line="175"/>
      <w:jc w:val="both"/>
    </w:pPr>
    <w:rPr>
      <w:rFonts w:eastAsia="Calibri"/>
    </w:rPr>
  </w:style>
  <w:style w:type="paragraph" w:styleId="211" w:customStyle="1">
    <w:name w:val="Основной текст 21"/>
    <w:basedOn w:val="Normal"/>
    <w:qFormat/>
    <w:rsid w:val="00f76952"/>
    <w:pPr>
      <w:ind w:firstLine="851"/>
      <w:jc w:val="both"/>
    </w:pPr>
    <w:rPr>
      <w:szCs w:val="20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rsid w:val="00f76952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Footer">
    <w:name w:val="Footer"/>
    <w:basedOn w:val="Normal"/>
    <w:link w:val="Style17"/>
    <w:uiPriority w:val="99"/>
    <w:rsid w:val="00f76952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ConsNonformat" w:customStyle="1">
    <w:name w:val="ConsNonformat"/>
    <w:qFormat/>
    <w:rsid w:val="00f76952"/>
    <w:pPr>
      <w:widowControl/>
      <w:suppressAutoHyphens w:val="true"/>
      <w:bidi w:val="0"/>
      <w:spacing w:lineRule="auto" w:line="240"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212" w:customStyle="1">
    <w:name w:val="Основной текст (2)1"/>
    <w:basedOn w:val="Normal"/>
    <w:link w:val="21"/>
    <w:qFormat/>
    <w:rsid w:val="00f76952"/>
    <w:pPr>
      <w:widowControl w:val="false"/>
      <w:shd w:val="clear" w:color="auto" w:fill="FFFFFF"/>
      <w:spacing w:lineRule="atLeast" w:line="240" w:before="0" w:after="240"/>
      <w:jc w:val="both"/>
    </w:pPr>
    <w:rPr>
      <w:rFonts w:ascii="Arial" w:hAnsi="Arial" w:eastAsia="Arial" w:cs="DejaVu Sans" w:asciiTheme="minorHAnsi" w:cstheme="minorBidi" w:eastAsiaTheme="minorHAnsi" w:hAnsiTheme="minorHAnsi"/>
      <w:b/>
      <w:bCs/>
      <w:sz w:val="22"/>
      <w:szCs w:val="22"/>
      <w:shd w:fill="FFFFFF" w:val="clear"/>
      <w:lang w:eastAsia="en-US"/>
    </w:rPr>
  </w:style>
  <w:style w:type="paragraph" w:styleId="S1" w:customStyle="1">
    <w:name w:val="s_1"/>
    <w:basedOn w:val="Normal"/>
    <w:qFormat/>
    <w:rsid w:val="00f76952"/>
    <w:pPr>
      <w:spacing w:beforeAutospacing="1" w:afterAutospacing="1"/>
    </w:pPr>
    <w:rPr/>
  </w:style>
  <w:style w:type="paragraph" w:styleId="TableParagraph" w:customStyle="1">
    <w:name w:val="Table Paragraph"/>
    <w:basedOn w:val="Normal"/>
    <w:uiPriority w:val="1"/>
    <w:qFormat/>
    <w:rsid w:val="00f76952"/>
    <w:pPr>
      <w:widowControl w:val="false"/>
    </w:pPr>
    <w:rPr>
      <w:sz w:val="22"/>
      <w:szCs w:val="22"/>
      <w:lang w:eastAsia="en-US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0c49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ternat_75@bk.ru%20&#1048;&#1053;&#1053;/&#1050;&#1055;&#1055;%207206062170/720601001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Application>LibreOffice/24.2.1.2$Windows_X86_64 LibreOffice_project/db4def46b0453cc22e2d0305797cf981b68ef5ac</Application>
  <AppVersion>15.0000</AppVersion>
  <Pages>2</Pages>
  <Words>599</Words>
  <Characters>4180</Characters>
  <CharactersWithSpaces>4911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2021-05-07T06:37:00Z</dcterms:created>
  <dc:creator>Пользователь</dc:creator>
  <dc:description/>
  <dc:language>ru-RU</dc:language>
  <cp:lastModifiedBy/>
  <cp:lastPrinted>2026-05-18T09:59:29Z</cp:lastPrinted>
  <dcterms:modified xsi:type="dcterms:W3CDTF">2026-05-18T10:01:29Z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