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34"/>
        <w:gridCol w:w="2948"/>
        <w:gridCol w:w="3068"/>
      </w:tblGrid>
      <w:tr w:rsidR="00116DEE" w:rsidRPr="001031DC" w14:paraId="2CEED841" w14:textId="77777777" w:rsidTr="00240CDA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34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48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068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40CDA">
        <w:tc>
          <w:tcPr>
            <w:tcW w:w="573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4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1FBD1C40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E688F">
              <w:rPr>
                <w:rFonts w:ascii="Arial" w:hAnsi="Arial" w:cs="Arial"/>
                <w:bCs/>
                <w:spacing w:val="1"/>
                <w:sz w:val="22"/>
                <w:szCs w:val="22"/>
              </w:rPr>
              <w:t>оказание услуг по уборке помещений ГАУ ТО «МИАЦ» после проведения ремонта</w:t>
            </w:r>
          </w:p>
        </w:tc>
        <w:tc>
          <w:tcPr>
            <w:tcW w:w="2948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068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40CDA">
        <w:tc>
          <w:tcPr>
            <w:tcW w:w="573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4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C12C526" w14:textId="30026DF8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 w:rsidR="005E688F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E688F">
              <w:rPr>
                <w:rFonts w:ascii="Arial" w:hAnsi="Arial" w:cs="Arial"/>
                <w:bCs/>
                <w:sz w:val="22"/>
                <w:szCs w:val="22"/>
              </w:rPr>
              <w:t>календарных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дней с даты заключения договора</w:t>
            </w:r>
          </w:p>
        </w:tc>
        <w:tc>
          <w:tcPr>
            <w:tcW w:w="3068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40CDA">
        <w:tc>
          <w:tcPr>
            <w:tcW w:w="573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4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48" w:type="dxa"/>
          </w:tcPr>
          <w:p w14:paraId="72E34B0C" w14:textId="1C470C98" w:rsidR="00116DEE" w:rsidRPr="00120F95" w:rsidRDefault="005E688F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Пермякова, 3а, этаж 4, мансарда</w:t>
            </w:r>
          </w:p>
        </w:tc>
        <w:tc>
          <w:tcPr>
            <w:tcW w:w="3068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116DEE">
        <w:trPr>
          <w:trHeight w:val="3384"/>
        </w:trPr>
        <w:tc>
          <w:tcPr>
            <w:tcW w:w="573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34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48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068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16DEE" w:rsidRPr="00B941FC" w14:paraId="65D38FD0" w14:textId="77777777" w:rsidTr="00A331DB">
        <w:trPr>
          <w:trHeight w:val="2290"/>
        </w:trPr>
        <w:tc>
          <w:tcPr>
            <w:tcW w:w="573" w:type="dxa"/>
          </w:tcPr>
          <w:p w14:paraId="2C9AEA3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4E17F195" w14:textId="38151DAA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948" w:type="dxa"/>
          </w:tcPr>
          <w:p w14:paraId="079BC46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068" w:type="dxa"/>
          </w:tcPr>
          <w:p w14:paraId="7DCABD78" w14:textId="74F66965" w:rsidR="00116DEE" w:rsidRPr="000315FA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7076223D" w14:textId="77777777" w:rsidTr="00240CDA">
        <w:tc>
          <w:tcPr>
            <w:tcW w:w="573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34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48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068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sectPr w:rsidR="00116DE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050824"/>
    <w:rsid w:val="00116DEE"/>
    <w:rsid w:val="00120F95"/>
    <w:rsid w:val="001552D0"/>
    <w:rsid w:val="00191E4C"/>
    <w:rsid w:val="002C1EF3"/>
    <w:rsid w:val="00410AFD"/>
    <w:rsid w:val="005E688F"/>
    <w:rsid w:val="0088035E"/>
    <w:rsid w:val="0096110F"/>
    <w:rsid w:val="00B201FD"/>
    <w:rsid w:val="00BB79AB"/>
    <w:rsid w:val="00BC0E1B"/>
    <w:rsid w:val="00BE75DA"/>
    <w:rsid w:val="00C15338"/>
    <w:rsid w:val="00DC7FC2"/>
    <w:rsid w:val="00ED5AF2"/>
    <w:rsid w:val="00F615F1"/>
    <w:rsid w:val="00F6502F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2026-06-11T10:36:00Z</dcterms:created>
  <dcterms:modified xsi:type="dcterms:W3CDTF">2026-06-11T10:36:00Z</dcterms:modified>
  <dc:language>ru-RU</dc:language>
</cp:coreProperties>
</file>