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0" w:leader="none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Приложение № 1 </w:t>
      </w:r>
    </w:p>
    <w:p>
      <w:pPr>
        <w:pStyle w:val="Normal"/>
        <w:widowControl w:val="false"/>
        <w:tabs>
          <w:tab w:val="clear" w:pos="708"/>
          <w:tab w:val="left" w:pos="0" w:leader="none"/>
        </w:tabs>
        <w:jc w:val="right"/>
        <w:rPr/>
      </w:pPr>
      <w:r>
        <w:rPr/>
        <w:t>к извещению и документации о закупке</w:t>
      </w:r>
    </w:p>
    <w:p>
      <w:pPr>
        <w:pStyle w:val="Normal"/>
        <w:keepNext w:val="true"/>
        <w:keepLines/>
        <w:tabs>
          <w:tab w:val="clear" w:pos="708"/>
          <w:tab w:val="left" w:pos="5460" w:leader="none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tabs>
          <w:tab w:val="clear" w:pos="708"/>
          <w:tab w:val="left" w:pos="5460" w:leader="none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ТЕХНИЧЕСКОЕ ЗАДАНИЕ </w:t>
      </w:r>
    </w:p>
    <w:p>
      <w:pPr>
        <w:pStyle w:val="Normal"/>
        <w:keepNext w:val="true"/>
        <w:keepLines/>
        <w:tabs>
          <w:tab w:val="clear" w:pos="708"/>
          <w:tab w:val="left" w:pos="5460" w:leader="none"/>
        </w:tabs>
        <w:jc w:val="center"/>
        <w:rPr>
          <w:b/>
        </w:rPr>
      </w:pPr>
      <w:r>
        <w:rPr>
          <w:b/>
        </w:rPr>
        <w:t>на поставку товара (уголь)</w:t>
      </w:r>
    </w:p>
    <w:p>
      <w:pPr>
        <w:pStyle w:val="Normal"/>
        <w:keepNext w:val="true"/>
        <w:keepLines/>
        <w:tabs>
          <w:tab w:val="clear" w:pos="708"/>
          <w:tab w:val="left" w:pos="5460" w:leader="none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nsPlusNormal1"/>
        <w:widowControl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Требования к Поставщику</w:t>
      </w:r>
    </w:p>
    <w:p>
      <w:pPr>
        <w:pStyle w:val="ConsPlusNormal1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Поставщик должен:</w:t>
      </w:r>
    </w:p>
    <w:p>
      <w:pPr>
        <w:pStyle w:val="ConsPlusNormal1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иметь удостоверение качества на поставляемый уголь марки Д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класс </w:t>
      </w:r>
      <w:bookmarkStart w:id="0" w:name="_Hlk519686199_Копия_2"/>
      <w:r>
        <w:rPr>
          <w:rFonts w:cs="Times New Roman" w:ascii="Times New Roman" w:hAnsi="Times New Roman"/>
          <w:sz w:val="24"/>
          <w:szCs w:val="24"/>
        </w:rPr>
        <w:t>ПК, ГПК, ГПК</w:t>
      </w:r>
      <w:r>
        <w:rPr>
          <w:rFonts w:cs="Times New Roman" w:ascii="Times New Roman" w:hAnsi="Times New Roman"/>
          <w:sz w:val="24"/>
          <w:szCs w:val="24"/>
          <w:lang w:val="en-US"/>
        </w:rPr>
        <w:t>O</w:t>
      </w:r>
      <w:r>
        <w:rPr>
          <w:rFonts w:cs="Times New Roman" w:ascii="Times New Roman" w:hAnsi="Times New Roman"/>
          <w:sz w:val="24"/>
          <w:szCs w:val="24"/>
        </w:rPr>
        <w:t xml:space="preserve">, ПКО </w:t>
      </w:r>
      <w:bookmarkEnd w:id="0"/>
      <w:r>
        <w:rPr>
          <w:rFonts w:cs="Times New Roman" w:ascii="Times New Roman" w:hAnsi="Times New Roman"/>
          <w:sz w:val="24"/>
          <w:szCs w:val="24"/>
        </w:rPr>
        <w:t>(25-300)</w:t>
      </w:r>
    </w:p>
    <w:p>
      <w:pPr>
        <w:pStyle w:val="ConsPlusNormal1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осуществлять погрузку, доставку и разгрузку угля марки Д, класс </w:t>
      </w:r>
      <w:bookmarkStart w:id="1" w:name="_Hlk519686199_Копия_1"/>
      <w:r>
        <w:rPr>
          <w:rFonts w:cs="Times New Roman" w:ascii="Times New Roman" w:hAnsi="Times New Roman"/>
          <w:sz w:val="24"/>
          <w:szCs w:val="24"/>
        </w:rPr>
        <w:t>ПК, ГПК, ГПК</w:t>
      </w:r>
      <w:r>
        <w:rPr>
          <w:rFonts w:cs="Times New Roman" w:ascii="Times New Roman" w:hAnsi="Times New Roman"/>
          <w:sz w:val="24"/>
          <w:szCs w:val="24"/>
          <w:lang w:val="en-US"/>
        </w:rPr>
        <w:t>O</w:t>
      </w:r>
      <w:r>
        <w:rPr>
          <w:rFonts w:cs="Times New Roman" w:ascii="Times New Roman" w:hAnsi="Times New Roman"/>
          <w:sz w:val="24"/>
          <w:szCs w:val="24"/>
        </w:rPr>
        <w:t xml:space="preserve">, ПКО </w:t>
      </w:r>
      <w:bookmarkEnd w:id="1"/>
      <w:r>
        <w:rPr>
          <w:rFonts w:cs="Times New Roman" w:ascii="Times New Roman" w:hAnsi="Times New Roman"/>
          <w:sz w:val="24"/>
          <w:szCs w:val="24"/>
        </w:rPr>
        <w:t>(25-300) своими силами по адресам, указанным в извещении о закупке;</w:t>
      </w:r>
    </w:p>
    <w:p>
      <w:pPr>
        <w:pStyle w:val="ConsPlusNormal1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подтвердить исполнение ранее заключенных договоров на поставку товара, соответствующего требованиям, иным заказчикам.</w:t>
      </w:r>
    </w:p>
    <w:p>
      <w:pPr>
        <w:pStyle w:val="ConsPlusNormal1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hd w:val="clear" w:color="auto" w:fill="FFFFFF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Требования к поставляемому углю, марки </w:t>
      </w:r>
      <w:r>
        <w:rPr>
          <w:b/>
          <w:spacing w:val="-1"/>
          <w:sz w:val="24"/>
          <w:szCs w:val="24"/>
        </w:rPr>
        <w:t xml:space="preserve">Д, </w:t>
      </w:r>
      <w:r>
        <w:rPr>
          <w:b/>
          <w:sz w:val="24"/>
          <w:szCs w:val="24"/>
        </w:rPr>
        <w:t>класс ПК, ГПК, ГПК</w:t>
      </w:r>
      <w:r>
        <w:rPr>
          <w:b/>
          <w:sz w:val="24"/>
          <w:szCs w:val="24"/>
          <w:lang w:val="en-US"/>
        </w:rPr>
        <w:t>O</w:t>
      </w:r>
      <w:r>
        <w:rPr>
          <w:b/>
          <w:sz w:val="24"/>
          <w:szCs w:val="24"/>
        </w:rPr>
        <w:t>, ПКО фракции 25-300.</w:t>
      </w:r>
    </w:p>
    <w:p>
      <w:pPr>
        <w:pStyle w:val="Normal"/>
        <w:ind w:firstLine="540"/>
        <w:jc w:val="both"/>
        <w:rPr>
          <w:rFonts w:eastAsia="Calibri"/>
          <w:sz w:val="24"/>
          <w:szCs w:val="24"/>
          <w:lang w:eastAsia="ar-SA"/>
        </w:rPr>
      </w:pPr>
      <w:r>
        <w:rPr>
          <w:sz w:val="24"/>
          <w:szCs w:val="24"/>
        </w:rPr>
        <w:t xml:space="preserve">Поставляемый уголь должен быть экологически чистым и безопасным, соответствовать требованиям технических условий (ТУ), </w:t>
      </w:r>
      <w:r>
        <w:rPr>
          <w:spacing w:val="-1"/>
          <w:sz w:val="24"/>
          <w:szCs w:val="24"/>
        </w:rPr>
        <w:t xml:space="preserve">иметь удостоверение качества на каждую партию поставляемого угля </w:t>
      </w:r>
      <w:r>
        <w:rPr>
          <w:sz w:val="24"/>
          <w:szCs w:val="24"/>
        </w:rPr>
        <w:t xml:space="preserve">марки Д, класс </w:t>
      </w:r>
      <w:bookmarkStart w:id="2" w:name="_Hlk519686199_Копия_3"/>
      <w:r>
        <w:rPr>
          <w:sz w:val="24"/>
          <w:szCs w:val="24"/>
        </w:rPr>
        <w:t>ПК, ГПК, ГПК</w:t>
      </w:r>
      <w:r>
        <w:rPr>
          <w:sz w:val="24"/>
          <w:szCs w:val="24"/>
          <w:lang w:val="en-US"/>
        </w:rPr>
        <w:t>O</w:t>
      </w:r>
      <w:r>
        <w:rPr>
          <w:sz w:val="24"/>
          <w:szCs w:val="24"/>
        </w:rPr>
        <w:t>, ПКО</w:t>
      </w:r>
      <w:bookmarkEnd w:id="2"/>
      <w:r>
        <w:rPr>
          <w:sz w:val="24"/>
          <w:szCs w:val="24"/>
        </w:rPr>
        <w:t>, фракции 25-300</w:t>
      </w:r>
      <w:r>
        <w:rPr>
          <w:spacing w:val="-1"/>
          <w:sz w:val="24"/>
          <w:szCs w:val="24"/>
        </w:rPr>
        <w:t xml:space="preserve">. Каменный уголь должен быть размещен на площадке, предназначенной для хранения только каменного угля, с целью сохранения в нем качественных характеристик и исключения в нем песка, щебня и других примесей. </w:t>
      </w:r>
      <w:r>
        <w:rPr>
          <w:rFonts w:eastAsia="Calibri"/>
          <w:sz w:val="24"/>
          <w:szCs w:val="24"/>
          <w:lang w:eastAsia="ar-SA"/>
        </w:rPr>
        <w:t xml:space="preserve">Все документы должны быть заверены надлежащим образом. </w:t>
      </w:r>
      <w:r>
        <w:rPr>
          <w:sz w:val="24"/>
          <w:szCs w:val="24"/>
        </w:rPr>
        <w:t xml:space="preserve">Перед заключением договора «Поставщик» </w:t>
      </w:r>
      <w:r>
        <w:rPr>
          <w:rFonts w:eastAsia="Calibri"/>
          <w:sz w:val="24"/>
          <w:szCs w:val="24"/>
          <w:lang w:eastAsia="ar-SA"/>
        </w:rPr>
        <w:t>обязан показать Заказчику специализированную площадку, куда будет поставляться и отгружаться уголь, во избежание, при его погрузке, попадания песка, щебня и других сыпучих примесей. Если данная специализированная площадка будет не соответствовать требованиям Заказчика, Заказчик имеет право отказаться от заключения договора.</w:t>
      </w:r>
    </w:p>
    <w:p>
      <w:pPr>
        <w:pStyle w:val="Normal"/>
        <w:ind w:firstLine="540"/>
        <w:jc w:val="both"/>
        <w:rPr>
          <w:rFonts w:eastAsia="Calibri"/>
          <w:sz w:val="24"/>
          <w:szCs w:val="24"/>
          <w:lang w:eastAsia="ar-SA"/>
        </w:rPr>
      </w:pPr>
      <w:r>
        <w:rPr>
          <w:rFonts w:eastAsia="Calibri"/>
          <w:sz w:val="24"/>
          <w:szCs w:val="24"/>
          <w:lang w:eastAsia="ar-SA"/>
        </w:rPr>
        <w:t>Поставщик гарантирует качество и безопасность Товара в соответствии с действующими стандартами, утвержденными на данный вид Товара, и наличием удостоверения качества на каждую партию Товара, обязательного для данного вида Товара, оформленного в соответствии с законодательством Российской Федерации. Качество Товара, поставляемого Заказчику в соответствии со Спецификацией, должно соответствовать законодательству Российской Федерации и договору.</w:t>
      </w:r>
    </w:p>
    <w:p>
      <w:pPr>
        <w:pStyle w:val="Normal"/>
        <w:ind w:firstLine="540"/>
        <w:jc w:val="both"/>
        <w:rPr>
          <w:rFonts w:eastAsia="Calibri"/>
          <w:sz w:val="24"/>
          <w:szCs w:val="24"/>
          <w:lang w:eastAsia="ar-SA"/>
        </w:rPr>
      </w:pPr>
      <w:r>
        <w:rPr>
          <w:rFonts w:eastAsia="Calibri"/>
          <w:sz w:val="24"/>
          <w:szCs w:val="24"/>
          <w:lang w:eastAsia="ar-SA"/>
        </w:rPr>
        <w:t>Поставляемый Заказчику вышеуказанный уголь должен быть получен Поставщиком не ранее 2026 года и на момент его поставки, остаточный срок годности товара должен составлять не менее 12 месяцев.</w:t>
      </w:r>
    </w:p>
    <w:p>
      <w:pPr>
        <w:pStyle w:val="Normal"/>
        <w:ind w:firstLine="540"/>
        <w:jc w:val="both"/>
        <w:rPr>
          <w:rFonts w:eastAsia="Calibri"/>
          <w:sz w:val="24"/>
          <w:szCs w:val="24"/>
          <w:lang w:eastAsia="ar-SA"/>
        </w:rPr>
      </w:pPr>
      <w:r>
        <w:rPr>
          <w:rFonts w:eastAsia="Calibri"/>
          <w:sz w:val="24"/>
          <w:szCs w:val="24"/>
          <w:lang w:eastAsia="ar-SA"/>
        </w:rPr>
        <w:t>Поставщик гарантирует возможность безопасного использования Товара по назначению в течение всего срока годности Товара.</w:t>
      </w:r>
    </w:p>
    <w:p>
      <w:pPr>
        <w:pStyle w:val="Normal"/>
        <w:shd w:val="clear" w:color="auto" w:fill="FFFFFF"/>
        <w:ind w:firstLine="54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Заказчик имеет право, за счет Поставщика проверить качество товара. Такая проверка проводится «до» или «при» погрузке товара в автомашины со склада поставщика. О намерении воспользоваться данным правом Заказчик письменно и заблаговременно извещает Поставщика. Заказчик вправе произвести забор проб поставляемого угля из любой партии. Оплата анализа проб производится также за счет средств Поставщика. </w:t>
      </w:r>
    </w:p>
    <w:p>
      <w:pPr>
        <w:pStyle w:val="Normal"/>
        <w:shd w:val="clear" w:color="auto" w:fill="FFFFFF"/>
        <w:ind w:firstLine="540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В случае выявления Заказчиком несоответствия полученного угля вышеуказанным пунктам, Поставщик обязан своими силами и за свой счет без увеличения стоимости поставки в </w:t>
      </w:r>
      <w:r>
        <w:rPr>
          <w:spacing w:val="-2"/>
          <w:sz w:val="24"/>
          <w:szCs w:val="24"/>
        </w:rPr>
        <w:t>согласованный сторонами разумный срок (не более 2 суток), произвести замену отгруженного угля.</w:t>
      </w:r>
    </w:p>
    <w:p>
      <w:pPr>
        <w:pStyle w:val="Normal"/>
        <w:ind w:firstLine="540"/>
        <w:jc w:val="both"/>
        <w:rPr>
          <w:rFonts w:eastAsia="Calibri"/>
          <w:sz w:val="24"/>
          <w:szCs w:val="24"/>
          <w:lang w:eastAsia="ar-SA"/>
        </w:rPr>
      </w:pPr>
      <w:r>
        <w:rPr>
          <w:rFonts w:eastAsia="Calibri"/>
          <w:sz w:val="24"/>
          <w:szCs w:val="24"/>
          <w:lang w:eastAsia="ar-SA"/>
        </w:rPr>
        <w:t xml:space="preserve">Все расходы, связанные с возвратом Товара ненадлежащего качества, осуществляются за счет Поставщика. </w:t>
      </w:r>
    </w:p>
    <w:p>
      <w:pPr>
        <w:pStyle w:val="Normal"/>
        <w:ind w:firstLine="540"/>
        <w:jc w:val="both"/>
        <w:rPr>
          <w:rFonts w:eastAsia="Calibri"/>
          <w:sz w:val="24"/>
          <w:szCs w:val="24"/>
          <w:lang w:eastAsia="ar-SA"/>
        </w:rPr>
      </w:pPr>
      <w:r>
        <w:rPr>
          <w:rFonts w:eastAsia="Calibri"/>
          <w:sz w:val="24"/>
          <w:szCs w:val="24"/>
          <w:lang w:eastAsia="ar-SA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450" w:type="dxa"/>
        <w:jc w:val="left"/>
        <w:tblInd w:w="88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firstRow="1" w:noVBand="1" w:lastRow="0" w:firstColumn="1" w:lastColumn="0" w:noHBand="0" w:val="04a0"/>
      </w:tblPr>
      <w:tblGrid>
        <w:gridCol w:w="659"/>
        <w:gridCol w:w="5148"/>
        <w:gridCol w:w="3643"/>
      </w:tblGrid>
      <w:tr>
        <w:trPr>
          <w:trHeight w:val="432" w:hRule="exac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показателей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Качественные показатели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1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Марка угля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Д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2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bCs/>
              </w:rPr>
              <w:t>Количество (тонн)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650</w:t>
            </w:r>
          </w:p>
        </w:tc>
      </w:tr>
      <w:tr>
        <w:trPr>
          <w:trHeight w:val="444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3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>
                <w:bCs/>
              </w:rPr>
            </w:pPr>
            <w:r>
              <w:rPr>
                <w:b/>
                <w:bCs/>
                <w:sz w:val="24"/>
                <w:szCs w:val="24"/>
              </w:rPr>
              <w:t>ОКПД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05.10.10.131 (преимущество)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4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Класс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bookmarkStart w:id="3" w:name="_Hlk519686199"/>
            <w:r>
              <w:rPr/>
              <w:t>ПК, ГПК, ГПК</w:t>
            </w:r>
            <w:r>
              <w:rPr>
                <w:lang w:val="en-US"/>
              </w:rPr>
              <w:t>O</w:t>
            </w:r>
            <w:r>
              <w:rPr/>
              <w:t xml:space="preserve">, ПКО </w:t>
            </w:r>
            <w:bookmarkEnd w:id="3"/>
            <w:r>
              <w:rPr/>
              <w:t>(25-300)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5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>
                <w:lang w:val="en-US"/>
              </w:rPr>
            </w:pPr>
            <w:r>
              <w:rPr/>
              <w:t>Влага общая, % (Wrt)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Не более 15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6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>
                <w:lang w:val="en-US"/>
              </w:rPr>
            </w:pPr>
            <w:r>
              <w:rPr/>
              <w:t>Зольность, сухое состояние, %</w:t>
            </w:r>
            <w:r>
              <w:rPr>
                <w:lang w:val="en-US"/>
              </w:rPr>
              <w:t xml:space="preserve"> (Ad)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Не более 15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7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Выход летучих веществ, сухое беззольное состояние, % (</w:t>
            </w:r>
            <w:r>
              <w:rPr>
                <w:lang w:val="en-US"/>
              </w:rPr>
              <w:t>Vdaf</w:t>
            </w:r>
            <w:r>
              <w:rPr/>
              <w:t>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>
                <w:lang w:val="en-US"/>
              </w:rPr>
            </w:pPr>
            <w:r>
              <w:rPr/>
              <w:t>Не более 42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8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>
                <w:lang w:val="en-US"/>
              </w:rPr>
            </w:pPr>
            <w:r>
              <w:rPr/>
              <w:t>Сера, сухое состояние, %</w:t>
            </w:r>
            <w:r>
              <w:rPr>
                <w:lang w:val="en-US"/>
              </w:rPr>
              <w:t xml:space="preserve"> (Sd)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Не более 0,6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9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Высшая теплота сгорания, сухое беззольное состояние, ккал / кг (</w:t>
            </w:r>
            <w:r>
              <w:rPr>
                <w:lang w:val="en-US"/>
              </w:rPr>
              <w:t>Qdaf</w:t>
            </w:r>
            <w:r>
              <w:rPr/>
              <w:t>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Не менее 7400</w:t>
            </w:r>
          </w:p>
        </w:tc>
      </w:tr>
      <w:tr>
        <w:trPr>
          <w:trHeight w:val="358" w:hRule="atLeast"/>
        </w:trPr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/>
            </w:pPr>
            <w:r>
              <w:rPr/>
              <w:t>10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>Низшая теплота сгорания на рабочее состояние, ккал / кг (Qri)</w:t>
            </w:r>
          </w:p>
        </w:tc>
        <w:tc>
          <w:tcPr>
            <w:tcW w:w="3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  <w:t xml:space="preserve">Не менее </w:t>
            </w:r>
            <w:r>
              <w:rPr>
                <w:lang w:val="en-US"/>
              </w:rPr>
              <w:t>51</w:t>
            </w:r>
            <w:r>
              <w:rPr/>
              <w:t>00</w:t>
            </w:r>
            <w:bookmarkStart w:id="4" w:name="OLE_LINK1"/>
            <w:bookmarkStart w:id="5" w:name="OLE_LINK3"/>
            <w:bookmarkStart w:id="6" w:name="OLE_LINK2"/>
            <w:bookmarkEnd w:id="4"/>
            <w:bookmarkEnd w:id="5"/>
            <w:bookmarkEnd w:id="6"/>
          </w:p>
        </w:tc>
      </w:tr>
    </w:tbl>
    <w:p>
      <w:pPr>
        <w:pStyle w:val="Normal"/>
        <w:shd w:val="clear" w:color="auto" w:fill="FFFFFF"/>
        <w:jc w:val="center"/>
        <w:rPr>
          <w:b/>
          <w:spacing w:val="-1"/>
          <w:sz w:val="24"/>
          <w:szCs w:val="24"/>
        </w:rPr>
      </w:pPr>
      <w:r>
        <w:rPr>
          <w:b/>
          <w:spacing w:val="-1"/>
          <w:sz w:val="24"/>
          <w:szCs w:val="24"/>
        </w:rPr>
      </w:r>
    </w:p>
    <w:p>
      <w:pPr>
        <w:pStyle w:val="Normal"/>
        <w:shd w:val="clear" w:color="auto" w:fill="FFFFFF"/>
        <w:ind w:firstLine="540"/>
        <w:rPr>
          <w:b/>
          <w:sz w:val="24"/>
          <w:szCs w:val="24"/>
        </w:rPr>
      </w:pPr>
      <w:r>
        <w:rPr>
          <w:b/>
          <w:spacing w:val="-1"/>
          <w:sz w:val="24"/>
          <w:szCs w:val="24"/>
        </w:rPr>
        <w:t xml:space="preserve">3. Требование к поставке и отгрузке угля, марки Д, </w:t>
      </w:r>
      <w:bookmarkStart w:id="7" w:name="_Hlk519686245"/>
      <w:r>
        <w:rPr>
          <w:b/>
          <w:sz w:val="24"/>
          <w:szCs w:val="24"/>
        </w:rPr>
        <w:t xml:space="preserve">класс </w:t>
      </w:r>
      <w:r>
        <w:rPr>
          <w:b/>
          <w:sz w:val="24"/>
          <w:szCs w:val="24"/>
          <w:lang w:eastAsia="en-US"/>
        </w:rPr>
        <w:t>ПК, ГПК, ГПК</w:t>
      </w:r>
      <w:r>
        <w:rPr>
          <w:b/>
          <w:sz w:val="24"/>
          <w:szCs w:val="24"/>
          <w:lang w:val="en-US" w:eastAsia="en-US"/>
        </w:rPr>
        <w:t>O</w:t>
      </w:r>
      <w:r>
        <w:rPr>
          <w:b/>
          <w:sz w:val="24"/>
          <w:szCs w:val="24"/>
          <w:lang w:eastAsia="en-US"/>
        </w:rPr>
        <w:t>, ПКО</w:t>
      </w:r>
      <w:bookmarkEnd w:id="7"/>
      <w:r>
        <w:rPr>
          <w:b/>
          <w:sz w:val="24"/>
          <w:szCs w:val="24"/>
        </w:rPr>
        <w:t xml:space="preserve"> (фракции 25-300)</w:t>
      </w:r>
      <w:r>
        <w:rPr>
          <w:b/>
          <w:spacing w:val="-1"/>
          <w:sz w:val="24"/>
          <w:szCs w:val="24"/>
        </w:rPr>
        <w:t>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370" w:leader="none"/>
        </w:tabs>
        <w:jc w:val="both"/>
        <w:rPr>
          <w:spacing w:val="-20"/>
          <w:sz w:val="24"/>
          <w:szCs w:val="24"/>
        </w:rPr>
      </w:pPr>
      <w:r>
        <w:rPr>
          <w:sz w:val="24"/>
          <w:szCs w:val="24"/>
        </w:rPr>
        <w:t>- Расходы на погрузку, доставку и разгрузку до места назначения входит в цену договора;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370" w:leader="none"/>
        </w:tabs>
        <w:jc w:val="both"/>
        <w:rPr>
          <w:spacing w:val="-12"/>
          <w:sz w:val="24"/>
          <w:szCs w:val="24"/>
        </w:rPr>
      </w:pPr>
      <w:r>
        <w:rPr>
          <w:sz w:val="24"/>
          <w:szCs w:val="24"/>
        </w:rPr>
        <w:t>- Масса одной поставляемой партии угля, марки Д, класс ПК, ГПК, ГПКO, ПКО, фракции 25-300 должна соответствовать заявке Заказчика, и составлять от 5 тонн до 40 тонн.</w:t>
      </w:r>
    </w:p>
    <w:p>
      <w:pPr>
        <w:pStyle w:val="Normal"/>
        <w:jc w:val="both"/>
        <w:rPr>
          <w:sz w:val="24"/>
          <w:szCs w:val="24"/>
        </w:rPr>
      </w:pPr>
      <w:bookmarkStart w:id="8" w:name="OLE_LINK12"/>
      <w:bookmarkStart w:id="9" w:name="OLE_LINK11"/>
      <w:bookmarkStart w:id="10" w:name="OLE_LINK10"/>
      <w:r>
        <w:rPr>
          <w:sz w:val="24"/>
          <w:szCs w:val="24"/>
        </w:rPr>
        <w:t>- Доставка угля осуществляется автомобильным транспортом поставщика до места назначения и в сроки в соответствии с документацией о закупке Заказчика.</w:t>
      </w:r>
      <w:bookmarkEnd w:id="8"/>
      <w:bookmarkEnd w:id="9"/>
      <w:bookmarkEnd w:id="10"/>
    </w:p>
    <w:p>
      <w:pPr>
        <w:pStyle w:val="Normal"/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Место доставки и количество товара: </w:t>
      </w:r>
    </w:p>
    <w:tbl>
      <w:tblPr>
        <w:tblW w:w="9571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9"/>
        <w:gridCol w:w="5179"/>
        <w:gridCol w:w="3573"/>
      </w:tblGrid>
      <w:tr>
        <w:trPr/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  <w:lang w:eastAsia="ar-SA"/>
              </w:rPr>
              <w:t xml:space="preserve">№ </w:t>
            </w:r>
            <w:r>
              <w:rPr>
                <w:b/>
                <w:bCs/>
                <w:lang w:eastAsia="ar-SA"/>
              </w:rPr>
              <w:t>п/п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  <w:lang w:eastAsia="ar-SA"/>
              </w:rPr>
              <w:t>Место нахождение котельной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>
                <w:b/>
                <w:bCs/>
              </w:rPr>
            </w:pPr>
            <w:r>
              <w:rPr>
                <w:b/>
                <w:bCs/>
                <w:lang w:eastAsia="ar-SA"/>
              </w:rPr>
              <w:t>Количество в тоннах</w:t>
            </w:r>
          </w:p>
        </w:tc>
      </w:tr>
      <w:tr>
        <w:trPr/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/>
            </w:pPr>
            <w:r>
              <w:rPr>
                <w:lang w:eastAsia="ar-SA"/>
              </w:rPr>
              <w:t>1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/>
            </w:pPr>
            <w:r>
              <w:rPr>
                <w:lang w:eastAsia="ar-SA"/>
              </w:rPr>
              <w:t>Котельная с. Менжинское, Сладковского района, Тюменской области, 627603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/>
            </w:pPr>
            <w:r>
              <w:rPr>
                <w:lang w:eastAsia="ar-SA"/>
              </w:rPr>
              <w:t>350 тонн</w:t>
            </w:r>
          </w:p>
        </w:tc>
      </w:tr>
      <w:tr>
        <w:trPr/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/>
            </w:pPr>
            <w:r>
              <w:rPr>
                <w:lang w:eastAsia="ar-SA"/>
              </w:rPr>
              <w:t>2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/>
            </w:pPr>
            <w:r>
              <w:rPr>
                <w:lang w:eastAsia="ar-SA"/>
              </w:rPr>
              <w:t>Котельная с. Рождественка, Сладковского района, Тюменской области, 627615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/>
            </w:pPr>
            <w:r>
              <w:rPr>
                <w:lang w:eastAsia="ar-SA"/>
              </w:rPr>
              <w:t>150 тонн</w:t>
            </w:r>
          </w:p>
        </w:tc>
      </w:tr>
      <w:tr>
        <w:trPr/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/>
            </w:pPr>
            <w:r>
              <w:rPr>
                <w:lang w:eastAsia="ar-SA"/>
              </w:rPr>
              <w:t>3</w:t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/>
            </w:pPr>
            <w:r>
              <w:rPr>
                <w:lang w:eastAsia="ar-SA"/>
              </w:rPr>
              <w:t>Котельная с. Степное, Сладковского района, Тюменской области, 627626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/>
            </w:pPr>
            <w:r>
              <w:rPr>
                <w:lang w:eastAsia="ar-SA"/>
              </w:rPr>
              <w:t>150 тонн</w:t>
            </w:r>
          </w:p>
        </w:tc>
      </w:tr>
      <w:tr>
        <w:trPr/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>
                <w:lang w:eastAsia="ar-SA"/>
              </w:rPr>
            </w:pPr>
            <w:r>
              <w:rPr>
                <w:lang w:eastAsia="ar-SA"/>
              </w:rPr>
            </w:r>
          </w:p>
        </w:tc>
        <w:tc>
          <w:tcPr>
            <w:tcW w:w="5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rPr/>
            </w:pPr>
            <w:r>
              <w:rPr>
                <w:b/>
                <w:lang w:eastAsia="ar-SA"/>
              </w:rPr>
              <w:t>ИТОГО: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200"/>
              <w:jc w:val="center"/>
              <w:rPr/>
            </w:pPr>
            <w:r>
              <w:rPr>
                <w:b/>
                <w:lang w:eastAsia="ar-SA"/>
              </w:rPr>
              <w:t>650 т</w:t>
            </w:r>
          </w:p>
        </w:tc>
      </w:tr>
    </w:tbl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Срок поставки товара:</w:t>
      </w:r>
      <w:r>
        <w:rPr>
          <w:sz w:val="24"/>
          <w:szCs w:val="24"/>
        </w:rPr>
        <w:t xml:space="preserve"> </w:t>
      </w:r>
    </w:p>
    <w:p>
      <w:pPr>
        <w:pStyle w:val="Normal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Поставка товара осуществляется по наименованию и в количестве, указанном в заявке Заказчика в срок не позднее 31.</w:t>
      </w:r>
      <w:r>
        <w:rPr>
          <w:color w:val="000000"/>
          <w:sz w:val="24"/>
          <w:szCs w:val="24"/>
        </w:rPr>
        <w:t>01</w:t>
      </w:r>
      <w:r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года.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1"/>
        <w:widowControl/>
        <w:ind w:firstLine="567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cs="Times New Roman" w:ascii="Times New Roman" w:hAnsi="Times New Roman"/>
          <w:b/>
          <w:sz w:val="24"/>
          <w:szCs w:val="24"/>
        </w:rPr>
        <w:t>4. Порядок оплата товара.</w:t>
      </w:r>
    </w:p>
    <w:p>
      <w:pPr>
        <w:pStyle w:val="ConsPlusNormal1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Заказчик осуществляет оплату на расчетный счет Поставщика по факту 100% поставки всего товара </w:t>
      </w:r>
      <w:bookmarkStart w:id="11" w:name="_Hlk231298031"/>
      <w:r>
        <w:rPr>
          <w:rFonts w:ascii="Times New Roman" w:hAnsi="Times New Roman"/>
          <w:sz w:val="24"/>
          <w:szCs w:val="24"/>
        </w:rPr>
        <w:t>в течение 7 (семи) рабочих дней с даты представления Поставщиком счета и подписания товарной накладной, актов приема-передачи товара обеими сторонами</w:t>
      </w:r>
      <w:bookmarkEnd w:id="11"/>
      <w:r>
        <w:rPr>
          <w:rFonts w:ascii="Times New Roman" w:hAnsi="Times New Roman"/>
          <w:sz w:val="24"/>
          <w:szCs w:val="24"/>
        </w:rPr>
        <w:t>. Аванс не предусмотрен.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79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nsPlusNormal" w:customStyle="1">
    <w:name w:val="ConsPlusNormal Знак"/>
    <w:link w:val="ConsPlusNormal1"/>
    <w:uiPriority w:val="99"/>
    <w:qFormat/>
    <w:locked/>
    <w:rsid w:val="00bd338c"/>
    <w:rPr>
      <w:rFonts w:ascii="Arial" w:hAnsi="Arial" w:eastAsia="Calibri" w:cs="Arial"/>
      <w:sz w:val="20"/>
      <w:szCs w:val="20"/>
      <w:lang w:eastAsia="zh-C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Style19">
    <w:name w:val="Title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ConsPlusNormal1" w:customStyle="1">
    <w:name w:val="ConsPlusNormal"/>
    <w:link w:val="ConsPlusNormal"/>
    <w:uiPriority w:val="99"/>
    <w:qFormat/>
    <w:rsid w:val="00fa79ce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LibreOffice/7.5.8.2$Windows_X86_64 LibreOffice_project/f718d63693263970429a68f568db6046aaa9df01</Application>
  <AppVersion>15.0000</AppVersion>
  <Pages>2</Pages>
  <Words>721</Words>
  <Characters>4114</Characters>
  <CharactersWithSpaces>4826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2026-06-04T04:08:00Z</dcterms:created>
  <dc:creator>123</dc:creator>
  <dc:description/>
  <dc:language>ru-RU</dc:language>
  <cp:lastModifiedBy/>
  <cp:lastPrinted>2026-05-29T15:33:00Z</cp:lastPrinted>
  <dcterms:modified xsi:type="dcterms:W3CDTF">2026-09-21T15:40:17Z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