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1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1" w:firstColumn="0" w:lastColumn="0" w:noHBand="0" w:val="0040"/>
      </w:tblPr>
      <w:tblGrid>
        <w:gridCol w:w="10196"/>
      </w:tblGrid>
      <w:tr>
        <w:trPr>
          <w:trHeight w:val="320" w:hRule="atLeast"/>
        </w:trPr>
        <w:tc>
          <w:tcPr>
            <w:tcW w:w="10196" w:type="dxa"/>
            <w:tcBorders/>
            <w:vAlign w:val="bottom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704850" cy="533400"/>
                  <wp:effectExtent l="0" t="0" r="0" b="0"/>
                  <wp:docPr id="1" name="Рисунок 1" descr="1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1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3" w:hRule="atLeast"/>
        </w:trPr>
        <w:tc>
          <w:tcPr>
            <w:tcW w:w="10196" w:type="dxa"/>
            <w:tcBorders/>
            <w:vAlign w:val="bottom"/>
          </w:tcPr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ДЕПАРТАМЕНТ СОЦИАЛЬНОГО РАЗВИТИЯ</w:t>
            </w:r>
          </w:p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Департамент социального развития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Автономное учреждение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«Центр помощи детям, оставшимся без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попечения родителей «Дом детства»»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(АУ ТО «Дом детства»)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ул.Семена Ремезова, д. 70, стр.1, г. Тобольск, Тюменская область, 626150, тел 8 (3456)25-91-02</w:t>
            </w:r>
          </w:p>
          <w:p>
            <w:pPr>
              <w:pStyle w:val="Normal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E-mail: </w:t>
            </w:r>
            <w:hyperlink r:id="rId3">
              <w:r>
                <w:rPr>
                  <w:rStyle w:val="Hyperlink"/>
                  <w:lang w:val="en-US"/>
                </w:rPr>
                <w:t xml:space="preserve"> dom_detstva@obl72.ru </w:t>
              </w:r>
              <w:r>
                <w:rPr>
                  <w:rStyle w:val="Hyperlink"/>
                </w:rPr>
                <w:t>ИНН</w:t>
              </w:r>
              <w:r>
                <w:rPr>
                  <w:rStyle w:val="Hyperlink"/>
                  <w:lang w:val="en-US"/>
                </w:rPr>
                <w:t>/</w:t>
              </w:r>
              <w:r>
                <w:rPr>
                  <w:rStyle w:val="Hyperlink"/>
                </w:rPr>
                <w:t>КПП</w:t>
              </w:r>
              <w:r>
                <w:rPr>
                  <w:rStyle w:val="Hyperlink"/>
                  <w:lang w:val="en-US"/>
                </w:rPr>
                <w:t xml:space="preserve"> 7206062170/720601001</w:t>
              </w:r>
            </w:hyperlink>
          </w:p>
          <w:p>
            <w:pPr>
              <w:pStyle w:val="Normal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Исх. </w:t>
      </w:r>
      <w:r>
        <w:rPr>
          <w:rFonts w:cs="Arial" w:ascii="Arial" w:hAnsi="Arial"/>
          <w:sz w:val="20"/>
          <w:szCs w:val="20"/>
        </w:rPr>
        <w:t>15</w:t>
      </w:r>
      <w:r>
        <w:rPr>
          <w:rFonts w:cs="Arial" w:ascii="Arial" w:hAnsi="Arial"/>
          <w:color w:val="auto"/>
          <w:sz w:val="20"/>
          <w:szCs w:val="20"/>
        </w:rPr>
        <w:t>.10.2026</w:t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  <w:t>Запрос коммерческого предложения</w:t>
      </w:r>
    </w:p>
    <w:p>
      <w:pPr>
        <w:pStyle w:val="Normal"/>
        <w:jc w:val="center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В целях обоснования начальной (максимальной) цены договора на поставку продуктов питания, прошу направить информацию (коммерческое предложение) согласно таблице в срок до 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>22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.10.2026 на эл.почту </w:t>
      </w:r>
      <w:hyperlink r:id="rId4">
        <w:r>
          <w:rPr>
            <w:rStyle w:val="Hyperlink"/>
            <w:rFonts w:cs="Arial" w:ascii="Arial" w:hAnsi="Arial"/>
            <w:color w:val="000000"/>
            <w:sz w:val="20"/>
            <w:szCs w:val="20"/>
            <w:shd w:fill="FFFFFF" w:val="clear"/>
          </w:rPr>
          <w:t>sevryukovatyu@obl72.ru</w:t>
        </w:r>
      </w:hyperlink>
      <w:r>
        <w:rPr>
          <w:rFonts w:cs="Arial" w:ascii="Arial" w:hAnsi="Arial"/>
          <w:color w:val="000000"/>
          <w:sz w:val="20"/>
          <w:szCs w:val="20"/>
          <w:shd w:fill="FFFFFF" w:val="clear"/>
        </w:rPr>
        <w:t>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КАЧЕСТВО, МАРКИРОВКА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1. Качество товара должно соответствовать ГОСТам, ТУ, СТО ТШ, ТР, ТС на данный вид товара строго заявленные Покупателем в спецификации и подтверждаться имеющимися сертификатами качества, декларациями и протоколами испытаний, подтверждающие достоверность информации: «без ГМО», «не содержит ГМО» выданными заводом производителем.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2. Копии сертификатов, заверенных надлежащим образом, подлежат передаче одновременно с передачей Товара.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Качество товара должно соответствовать виду (классу), установленному в Техническом задании. Товар по показателям безопасности и пищевой ценности должен соответствовать единым санитарно-эпидемиологическим и гигиеническим требованиям к продукции (товару), подлежащей санитарно-эпидемиологическому надзору(контролю) (утверждены Решением Комиссии Таможенного союза от 28.05.2010 №299 «О применении санитарных мер в Евразийском экономическом союзе), Техническому регламенту Таможенного союза ТР ТС 021/2011 «О безопасности пищевой продукции» (утвержден Решением Комиссии Таможенного союза от 09.12.2011 № 880).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4. Товар должен иметь маркировку и содержать информацию в соответствии с требованиями действующего законодательства Российской Федерации и спецификации.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СРОКИ И УСЛОВИЯ ПОСТАВКИ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1. Поставка Товара осуществляется с 01.01.2027 до 31.12.2027 по заявкам Покупателя 3 (три) раза в неделю (понедельник, среда, пятница) до 12.00 часов.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2. Место поставки товара: Тюменская область, г.Тобольск, улица Семена Ремезова, 70, строение 1.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Товар должен быть упакован в тару и упаковку, обеспечивающую сохранность Товара при перевозке и проведении погрузочно-разгрузочных работ.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4. При поставке тара и упаковка не должны иметь признаков повреждения, ржавчины, вмятин и нарушения целостности.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5. Поставка продуктов, требующих соблюдение температурного режима осуществляется автотранспортом с фургоном рефрижератором.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6. Поставщик должен быть зарегистрированным в государственной информационной системе Меркурий (далее- ГИС Меркурий) и добросовестно фиксировать оборот (производство, перемещение, передача Покупателю) подконтрольных товаров;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Style w:val="Style18"/>
          <w:rFonts w:cs="Arial" w:ascii="Arial" w:hAnsi="Arial"/>
          <w:color w:val="000000"/>
          <w:sz w:val="20"/>
          <w:szCs w:val="20"/>
          <w:shd w:fill="FFFFFF" w:val="clear"/>
        </w:rPr>
        <w:t>Сбор данной информации не влечет за собой возникновение каких-либо обязательств Заказчика.</w:t>
      </w:r>
    </w:p>
    <w:p>
      <w:pPr>
        <w:pStyle w:val="Normal"/>
        <w:spacing w:lineRule="auto" w:line="259" w:before="0" w:after="16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pacing w:lineRule="auto" w:line="259" w:before="0" w:after="16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pacing w:lineRule="auto" w:line="259" w:before="0" w:after="16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tbl>
      <w:tblPr>
        <w:tblW w:w="10022" w:type="dxa"/>
        <w:jc w:val="left"/>
        <w:tblInd w:w="-40" w:type="dxa"/>
        <w:tblLayout w:type="fixed"/>
        <w:tblCellMar>
          <w:top w:w="0" w:type="dxa"/>
          <w:left w:w="6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58"/>
        <w:gridCol w:w="1873"/>
        <w:gridCol w:w="3972"/>
        <w:gridCol w:w="561"/>
        <w:gridCol w:w="858"/>
        <w:gridCol w:w="982"/>
        <w:gridCol w:w="1417"/>
      </w:tblGrid>
      <w:tr>
        <w:trPr>
          <w:trHeight w:val="1348" w:hRule="exact"/>
          <w:cantSplit w:val="true"/>
        </w:trPr>
        <w:tc>
          <w:tcPr>
            <w:tcW w:w="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rPr>
                <w:b/>
                <w:bCs/>
              </w:rPr>
            </w:pPr>
            <w:r>
              <w:rPr>
                <w:b/>
                <w:bCs/>
              </w:rPr>
              <w:t>Наименование товара</w:t>
            </w:r>
          </w:p>
          <w:p>
            <w:pPr>
              <w:pStyle w:val="Normal"/>
              <w:keepNext w:val="true"/>
              <w:keepLines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rPr>
                <w:rFonts w:eastAsia="Calibri"/>
                <w:b/>
                <w:bCs/>
                <w:lang w:eastAsia="en-US"/>
              </w:rPr>
            </w:pPr>
            <w:r>
              <w:rPr>
                <w:b/>
                <w:bCs/>
              </w:rPr>
              <w:t>Качественные характеристики товара</w:t>
            </w:r>
          </w:p>
        </w:tc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Ед.</w:t>
            </w:r>
          </w:p>
          <w:p>
            <w:pPr>
              <w:pStyle w:val="Normal"/>
              <w:keepNext w:val="true"/>
              <w:keepLines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измерения</w:t>
            </w:r>
          </w:p>
        </w:tc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ind w:right="-109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Количество (объем)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Цена за ед., руб.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Стоимость, руб.</w:t>
            </w:r>
          </w:p>
        </w:tc>
      </w:tr>
      <w:tr>
        <w:trPr>
          <w:trHeight w:val="556" w:hRule="atLeast"/>
          <w:cantSplit w:val="true"/>
        </w:trPr>
        <w:tc>
          <w:tcPr>
            <w:tcW w:w="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/>
              <w:t>Изюм</w:t>
            </w:r>
          </w:p>
        </w:tc>
        <w:tc>
          <w:tcPr>
            <w:tcW w:w="3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tabs>
                <w:tab w:val="clear" w:pos="708"/>
                <w:tab w:val="left" w:pos="3106" w:leader="none"/>
              </w:tabs>
              <w:jc w:val="both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Соответствие ГОСТ 6882-88. ТР ТС 021/2011. Внешний вид: изюм светлый. Масса ягод одного вида, сыпучая, без комкования. Ягоды после заводской обработки без плодоножек и косточек. Сорт: высший. Способ обработки: изюм.</w:t>
            </w:r>
          </w:p>
          <w:p>
            <w:pPr>
              <w:pStyle w:val="Normal"/>
              <w:ind w:right="113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Цвет: золотистый или коричневый с бурым оттенком. В сушеном винограде не допускаются: ягоды загнившие; признаки спиртового брожения и плесени; насекомые-вредители, их личинки и куколки; металлические примеси. Упаковка не более 5 кг. Не допускается нарушение герметичности упаковки. 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 Остаточный срок годности не менее 90% на момент поставки товара.</w:t>
            </w:r>
          </w:p>
        </w:tc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кг</w:t>
            </w:r>
          </w:p>
        </w:tc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/>
              <w:t>Курага</w:t>
            </w:r>
          </w:p>
        </w:tc>
        <w:tc>
          <w:tcPr>
            <w:tcW w:w="3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ind w:right="113"/>
              <w:jc w:val="both"/>
              <w:rPr>
                <w:b/>
                <w:bCs/>
                <w:color w:val="000000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Соответствие ГОСТ 32896-2014. ТР ТС 021/2011 Целые приплюснутые (абрикосы) сушеные фрукты без косточки. Сорт не ниже: высший. Цвет однородный, от светло-желтого до оранжево-красного. Вкус и запах свойственный абрикосу, без постороннего вкуса и запаха. Не слипающиеся при сжатии. Без посторонних примесей. Массовая доля влаги не более 18%. Упаковка не более 5,0 кг. Не допускается нарушение герметичности упаковки. </w:t>
            </w:r>
            <w:r>
              <w:rPr>
                <w:b/>
                <w:bCs/>
                <w:color w:val="000000"/>
                <w:sz w:val="18"/>
                <w:szCs w:val="18"/>
              </w:rPr>
              <w:t>Остаточный срок годности не менее 90% на момент поставки товара.</w:t>
            </w:r>
          </w:p>
        </w:tc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кг</w:t>
            </w:r>
          </w:p>
        </w:tc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Сухофрукты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ind w:right="113"/>
              <w:jc w:val="both"/>
              <w:rPr>
                <w:b/>
                <w:bCs/>
                <w:color w:val="000000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Соответствие ГОСТ32896-2014. ТР ТС 021/2011.  Первый сорт. Кружки, боковые срезы, полноценные по мякоти (сушеные фрукты из семечковых фруктов). Сорт не ниже: высший. Цвет однородный, от светло-желтого до оранжево-красного. Вкус и запах свойственны фруктам данного вида, без постороннего вкуса и запаха. Упаковка не более 10 кг. Не допускается нарушение герметичности упаковки </w:t>
            </w:r>
            <w:r>
              <w:rPr>
                <w:b/>
                <w:bCs/>
                <w:color w:val="000000"/>
                <w:sz w:val="18"/>
                <w:szCs w:val="18"/>
              </w:rPr>
              <w:t>Остаточный срок годности не менее 90% на момент поставки товара.</w:t>
            </w:r>
          </w:p>
        </w:tc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кг</w:t>
            </w:r>
          </w:p>
        </w:tc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7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Клубника замороженная</w:t>
            </w:r>
          </w:p>
        </w:tc>
        <w:tc>
          <w:tcPr>
            <w:tcW w:w="397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jc w:val="both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Соответствие ГОСТ 33823-2016. ТР ТС 021/2011, ТР ТС 005/2011, ТР ТС 022/2011. ТУ/СТО производителя, соответствующие характеристикам:</w:t>
            </w:r>
          </w:p>
          <w:p>
            <w:pPr>
              <w:pStyle w:val="Normal"/>
              <w:keepNext w:val="true"/>
              <w:keepLines/>
              <w:jc w:val="both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Клубника замороженная без чашелистиков целыми ягодами, быстрозамороженная. Сорт: высший, первый. Сырьё: ягоды свежие. Ягоды одного помологического сорта, зрелые, чистые, без повреждений сельскохозяйственными вредителями. Смерзшихся ягод не более 5-10%. Цвет однородный, свойственный данному виду ягод в потребительской стадии зрелости. Без постороннего привкуса и запаха. Массовая доля минеральных примесей не более 0,04%. Температура продукта не выше -18ºС. Посторонние примеси не допускаются. Упаковка не более 5 кг. Целостность упаковки не нарушена. Остаточный срок годности не менее 90% на момент поставки товара.</w:t>
            </w:r>
          </w:p>
        </w:tc>
        <w:tc>
          <w:tcPr>
            <w:tcW w:w="5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кг</w:t>
            </w:r>
          </w:p>
        </w:tc>
        <w:tc>
          <w:tcPr>
            <w:tcW w:w="8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7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Клюква замороженная</w:t>
            </w:r>
          </w:p>
        </w:tc>
        <w:tc>
          <w:tcPr>
            <w:tcW w:w="397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jc w:val="both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Соответствие ГОСТ 33823-2016. ТР ТС 021/2011, ТР ТС 005/2011, ТР ТС 022/2011. ТУ/СТО производителя, соответствующие характеристикам:</w:t>
            </w:r>
          </w:p>
          <w:p>
            <w:pPr>
              <w:pStyle w:val="Normal"/>
              <w:jc w:val="both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Клюква замороженная без плодоножек целыми ягодами, быстрозамороженная. Сорт: высший, первый. Сырьё: ягоды свежие. Ягоды одного помологического сорта, зрелые, чистые, без повреждений сельскохозяйственными вредителями. Смерзшихся ягод не более 5-10%. Цвет однородный, свойственный данному виду ягод в потребительской стадии зрелости. Без постороннего привкуса и запаха. Массовая доля минеральных примесей не более 0,04%. Температура продукта не выше -18ºС. Посторонние примеси не допускаются. Упаковка не более 5 кг. Целостность упаковки не нарушена. Остаточный срок годности не менее 90% на момент поставки товара.</w:t>
            </w:r>
          </w:p>
        </w:tc>
        <w:tc>
          <w:tcPr>
            <w:tcW w:w="5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кг</w:t>
            </w:r>
          </w:p>
        </w:tc>
        <w:tc>
          <w:tcPr>
            <w:tcW w:w="8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7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Вишня замороженная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97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jc w:val="both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Соответствие ГОСТ 33823-2016. ТР ТС 021/2011, ТР ТС 005/2011, ТР ТС 022/2011. ТУ/СТО производителя, соответствующие характеристикам: Вишня замороженная без плодоножек и косточек целыми ягодами, быстрозамороженная. Сорт: высший, первый. Сырьё: вишня свежая. Плоды одного помологического сорта, зрелые, чистые, без повреждений сельскохозяйственными вредителями. Смерзшихся плодов не более 5-10%. Цвет однородный, свойственный данному виду плодов в потребительской стадии зрелости. Без постороннего привкуса и запаха. Массовая доля минеральных примесей не более 0,04%. Температура продукта не выше -18ºС. Посторонние примеси не допускаются. Упаковка не более 5,0 кг. Целостность упаковки не нарушена.  Остаточный срок годности не менее 90% на момент поставки товара.</w:t>
            </w:r>
          </w:p>
        </w:tc>
        <w:tc>
          <w:tcPr>
            <w:tcW w:w="5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кг</w:t>
            </w:r>
          </w:p>
        </w:tc>
        <w:tc>
          <w:tcPr>
            <w:tcW w:w="8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  <w:t>_________                                                          ________     ______________</w:t>
      </w:r>
    </w:p>
    <w:p>
      <w:pPr>
        <w:pStyle w:val="ListParagraph"/>
        <w:tabs>
          <w:tab w:val="clear" w:pos="708"/>
          <w:tab w:val="left" w:pos="6323" w:leader="none"/>
          <w:tab w:val="left" w:pos="8152" w:leader="none"/>
        </w:tabs>
        <w:ind w:left="284"/>
        <w:jc w:val="both"/>
        <w:rPr>
          <w:rFonts w:ascii="Arial" w:hAnsi="Arial" w:cs="Arial"/>
          <w:color w:val="000000"/>
          <w:sz w:val="16"/>
          <w:szCs w:val="16"/>
          <w:shd w:fill="FFFFFF" w:val="clear"/>
        </w:rPr>
      </w:pPr>
      <w:r>
        <w:rPr>
          <w:rFonts w:cs="Arial" w:ascii="Arial" w:hAnsi="Arial"/>
          <w:color w:val="000000"/>
          <w:sz w:val="16"/>
          <w:szCs w:val="16"/>
          <w:shd w:fill="FFFFFF" w:val="clear"/>
        </w:rPr>
        <w:t>должность                                                                                                             подпись</w:t>
        <w:tab/>
        <w:t>ФИО</w:t>
      </w:r>
    </w:p>
    <w:sectPr>
      <w:type w:val="nextPage"/>
      <w:pgSz w:w="11906" w:h="16838"/>
      <w:pgMar w:left="709" w:right="850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iPriority="0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c5c9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2"/>
    <w:qFormat/>
    <w:rsid w:val="00f76952"/>
    <w:pPr>
      <w:keepNext w:val="true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2"/>
    <w:qFormat/>
    <w:rsid w:val="00f76952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f76952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Основной текст Знак"/>
    <w:basedOn w:val="DefaultParagraphFont"/>
    <w:qFormat/>
    <w:rsid w:val="002c5c98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2c5c98"/>
    <w:rPr>
      <w:color w:val="0000FF"/>
      <w:u w:val="single"/>
    </w:rPr>
  </w:style>
  <w:style w:type="character" w:styleId="1" w:customStyle="1">
    <w:name w:val="Стиль1 Знак"/>
    <w:link w:val="13"/>
    <w:qFormat/>
    <w:rsid w:val="002c5c98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2" w:customStyle="1">
    <w:name w:val="Текст выноски Знак"/>
    <w:basedOn w:val="DefaultParagraphFont"/>
    <w:link w:val="BalloonText"/>
    <w:qFormat/>
    <w:rsid w:val="002c5c98"/>
    <w:rPr>
      <w:rFonts w:ascii="Segoe UI" w:hAnsi="Segoe UI" w:eastAsia="Times New Roman" w:cs="Segoe UI"/>
      <w:sz w:val="18"/>
      <w:szCs w:val="18"/>
      <w:lang w:eastAsia="ru-RU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sid w:val="009d7704"/>
    <w:rPr>
      <w:color w:val="605E5C"/>
      <w:shd w:fill="E1DFDD" w:val="clear"/>
    </w:rPr>
  </w:style>
  <w:style w:type="character" w:styleId="12" w:customStyle="1">
    <w:name w:val="Заголовок 1 Знак"/>
    <w:basedOn w:val="DefaultParagraphFont"/>
    <w:qFormat/>
    <w:rsid w:val="00f76952"/>
    <w:rPr>
      <w:rFonts w:ascii="Times New Roman" w:hAnsi="Times New Roman" w:eastAsia="Times New Roman" w:cs="Times New Roman"/>
      <w:sz w:val="32"/>
      <w:szCs w:val="32"/>
      <w:lang w:eastAsia="ru-RU"/>
    </w:rPr>
  </w:style>
  <w:style w:type="character" w:styleId="2" w:customStyle="1">
    <w:name w:val="Заголовок 2 Знак"/>
    <w:basedOn w:val="DefaultParagraphFont"/>
    <w:qFormat/>
    <w:rsid w:val="00f76952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3" w:customStyle="1">
    <w:name w:val="Заголовок 3 Знак"/>
    <w:basedOn w:val="DefaultParagraphFont"/>
    <w:semiHidden/>
    <w:qFormat/>
    <w:rsid w:val="00f76952"/>
    <w:rPr>
      <w:rFonts w:ascii="Cambria" w:hAnsi="Cambria" w:eastAsia="Times New Roman" w:cs="Times New Roman"/>
      <w:b/>
      <w:bCs/>
      <w:sz w:val="26"/>
      <w:szCs w:val="26"/>
      <w:lang w:val="x-none" w:eastAsia="x-none"/>
    </w:rPr>
  </w:style>
  <w:style w:type="character" w:styleId="Style13" w:customStyle="1">
    <w:name w:val="Основной текст с отступом Знак"/>
    <w:basedOn w:val="DefaultParagraphFont"/>
    <w:qFormat/>
    <w:rsid w:val="00f76952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4" w:customStyle="1">
    <w:name w:val="Цветовое выделение"/>
    <w:qFormat/>
    <w:rsid w:val="00f76952"/>
    <w:rPr>
      <w:b/>
      <w:bCs/>
      <w:color w:val="26282F"/>
    </w:rPr>
  </w:style>
  <w:style w:type="character" w:styleId="Style15" w:customStyle="1">
    <w:name w:val="Гипертекстовая ссылка"/>
    <w:qFormat/>
    <w:rsid w:val="00f76952"/>
    <w:rPr>
      <w:b/>
      <w:bCs/>
      <w:color w:val="106BBE"/>
    </w:rPr>
  </w:style>
  <w:style w:type="character" w:styleId="HTMLCite">
    <w:name w:val="HTML Cite"/>
    <w:qFormat/>
    <w:rsid w:val="00f76952"/>
    <w:rPr>
      <w:i/>
      <w:iCs/>
    </w:rPr>
  </w:style>
  <w:style w:type="character" w:styleId="Style16" w:customStyle="1">
    <w:name w:val="Верхний колонтитул Знак"/>
    <w:basedOn w:val="DefaultParagraphFont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uiPriority w:val="99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pple-converted-space" w:customStyle="1">
    <w:name w:val="apple-converted-space"/>
    <w:basedOn w:val="DefaultParagraphFont"/>
    <w:qFormat/>
    <w:rsid w:val="00f76952"/>
    <w:rPr/>
  </w:style>
  <w:style w:type="character" w:styleId="FontStyle12" w:customStyle="1">
    <w:name w:val="Font Style12"/>
    <w:uiPriority w:val="99"/>
    <w:qFormat/>
    <w:rsid w:val="00f76952"/>
    <w:rPr>
      <w:rFonts w:ascii="Times New Roman" w:hAnsi="Times New Roman" w:cs="Times New Roman"/>
      <w:sz w:val="22"/>
      <w:szCs w:val="22"/>
    </w:rPr>
  </w:style>
  <w:style w:type="character" w:styleId="Strong">
    <w:name w:val="Strong"/>
    <w:uiPriority w:val="22"/>
    <w:qFormat/>
    <w:rsid w:val="00f76952"/>
    <w:rPr>
      <w:b/>
      <w:bCs/>
    </w:rPr>
  </w:style>
  <w:style w:type="character" w:styleId="Exact" w:customStyle="1">
    <w:name w:val="Основной текст Exact"/>
    <w:qFormat/>
    <w:rsid w:val="00f76952"/>
    <w:rPr>
      <w:rFonts w:ascii="Times New Roman" w:hAnsi="Times New Roman" w:cs="Times New Roman"/>
      <w:strike w:val="false"/>
      <w:dstrike w:val="false"/>
      <w:sz w:val="18"/>
      <w:szCs w:val="18"/>
      <w:u w:val="none"/>
      <w:effect w:val="none"/>
    </w:rPr>
  </w:style>
  <w:style w:type="character" w:styleId="21" w:customStyle="1">
    <w:name w:val="Основной текст (2)_"/>
    <w:link w:val="212"/>
    <w:qFormat/>
    <w:locked/>
    <w:rsid w:val="00f76952"/>
    <w:rPr>
      <w:b/>
      <w:bCs/>
      <w:shd w:fill="FFFFFF" w:val="clear"/>
    </w:rPr>
  </w:style>
  <w:style w:type="character" w:styleId="S10" w:customStyle="1">
    <w:name w:val="s_10"/>
    <w:qFormat/>
    <w:rsid w:val="00f76952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f76952"/>
    <w:rPr>
      <w:color w:val="605E5C"/>
      <w:shd w:fill="E1DFDD" w:val="clear"/>
    </w:rPr>
  </w:style>
  <w:style w:type="character" w:styleId="Style18">
    <w:name w:val="Основной шрифт абзаца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rsid w:val="002c5c98"/>
    <w:pPr>
      <w:jc w:val="both"/>
    </w:pPr>
    <w:rPr>
      <w:sz w:val="28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13" w:customStyle="1">
    <w:name w:val="Стиль1"/>
    <w:basedOn w:val="BodyText"/>
    <w:link w:val="1"/>
    <w:qFormat/>
    <w:rsid w:val="002c5c98"/>
    <w:pPr>
      <w:jc w:val="center"/>
    </w:pPr>
    <w:rPr>
      <w:b/>
    </w:rPr>
  </w:style>
  <w:style w:type="paragraph" w:styleId="BalloonText">
    <w:name w:val="Balloon Text"/>
    <w:basedOn w:val="Normal"/>
    <w:link w:val="Style12"/>
    <w:unhideWhenUsed/>
    <w:qFormat/>
    <w:rsid w:val="002c5c98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74333"/>
    <w:pPr>
      <w:spacing w:before="0" w:after="0"/>
      <w:ind w:left="720"/>
      <w:contextualSpacing/>
    </w:pPr>
    <w:rPr/>
  </w:style>
  <w:style w:type="paragraph" w:styleId="NoSpacing">
    <w:name w:val="No Spacing"/>
    <w:basedOn w:val="Normal"/>
    <w:uiPriority w:val="1"/>
    <w:qFormat/>
    <w:rsid w:val="00cd1205"/>
    <w:pPr>
      <w:ind w:left="2160"/>
    </w:pPr>
    <w:rPr>
      <w:rFonts w:ascii="Calibri" w:hAnsi="Calibri" w:eastAsia="Calibri"/>
      <w:color w:val="5A5A5A"/>
      <w:sz w:val="20"/>
      <w:szCs w:val="20"/>
      <w:lang w:eastAsia="en-US"/>
    </w:rPr>
  </w:style>
  <w:style w:type="paragraph" w:styleId="BodyTextIndent">
    <w:name w:val="Body Text Indent"/>
    <w:basedOn w:val="Normal"/>
    <w:link w:val="Style13"/>
    <w:rsid w:val="00f76952"/>
    <w:pPr>
      <w:jc w:val="both"/>
    </w:pPr>
    <w:rPr>
      <w:sz w:val="28"/>
      <w:szCs w:val="28"/>
    </w:rPr>
  </w:style>
  <w:style w:type="paragraph" w:styleId="Style131" w:customStyle="1">
    <w:name w:val="Style13"/>
    <w:basedOn w:val="Normal"/>
    <w:qFormat/>
    <w:rsid w:val="00f76952"/>
    <w:pPr>
      <w:widowControl w:val="false"/>
      <w:spacing w:lineRule="exact" w:line="175"/>
      <w:jc w:val="both"/>
    </w:pPr>
    <w:rPr>
      <w:rFonts w:eastAsia="Calibri"/>
    </w:rPr>
  </w:style>
  <w:style w:type="paragraph" w:styleId="211" w:customStyle="1">
    <w:name w:val="Основной текст 21"/>
    <w:basedOn w:val="Normal"/>
    <w:qFormat/>
    <w:rsid w:val="00f76952"/>
    <w:pPr>
      <w:ind w:firstLine="851"/>
      <w:jc w:val="both"/>
    </w:pPr>
    <w:rPr>
      <w:szCs w:val="20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6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Footer">
    <w:name w:val="Footer"/>
    <w:basedOn w:val="Normal"/>
    <w:link w:val="Style17"/>
    <w:uiPriority w:val="99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ConsNonformat" w:customStyle="1">
    <w:name w:val="ConsNonformat"/>
    <w:qFormat/>
    <w:rsid w:val="00f76952"/>
    <w:pPr>
      <w:widowControl/>
      <w:suppressAutoHyphens w:val="true"/>
      <w:bidi w:val="0"/>
      <w:spacing w:lineRule="auto" w:line="240" w:before="0" w:after="0"/>
      <w:ind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212" w:customStyle="1">
    <w:name w:val="Основной текст (2)1"/>
    <w:basedOn w:val="Normal"/>
    <w:link w:val="21"/>
    <w:qFormat/>
    <w:rsid w:val="00f76952"/>
    <w:pPr>
      <w:widowControl w:val="false"/>
      <w:shd w:val="clear" w:color="auto" w:fill="FFFFFF"/>
      <w:spacing w:lineRule="atLeast" w:line="240" w:before="0" w:after="240"/>
      <w:jc w:val="both"/>
    </w:pPr>
    <w:rPr>
      <w:rFonts w:ascii="Arial" w:hAnsi="Arial" w:eastAsia="Arial" w:cs="DejaVu Sans" w:asciiTheme="minorHAnsi" w:cstheme="minorBidi" w:eastAsiaTheme="minorHAnsi" w:hAnsiTheme="minorHAnsi"/>
      <w:b/>
      <w:bCs/>
      <w:sz w:val="22"/>
      <w:szCs w:val="22"/>
      <w:shd w:fill="FFFFFF" w:val="clear"/>
      <w:lang w:eastAsia="en-US"/>
    </w:rPr>
  </w:style>
  <w:style w:type="paragraph" w:styleId="S1" w:customStyle="1">
    <w:name w:val="s_1"/>
    <w:basedOn w:val="Normal"/>
    <w:qFormat/>
    <w:rsid w:val="00f76952"/>
    <w:pPr>
      <w:spacing w:beforeAutospacing="1" w:afterAutospacing="1"/>
    </w:pPr>
    <w:rPr/>
  </w:style>
  <w:style w:type="paragraph" w:styleId="TableParagraph" w:customStyle="1">
    <w:name w:val="Table Paragraph"/>
    <w:basedOn w:val="Normal"/>
    <w:uiPriority w:val="1"/>
    <w:qFormat/>
    <w:rsid w:val="00f76952"/>
    <w:pPr>
      <w:widowControl w:val="false"/>
    </w:pPr>
    <w:rPr>
      <w:sz w:val="22"/>
      <w:szCs w:val="22"/>
      <w:lang w:eastAsia="en-US"/>
    </w:rPr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paragraph" w:styleId="Style2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0c49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ternat_75@bk.ru%20&#1048;&#1053;&#1053;/&#1050;&#1055;&#1055;%207206062170/720601001" TargetMode="External"/><Relationship Id="rId4" Type="http://schemas.openxmlformats.org/officeDocument/2006/relationships/hyperlink" Target="mailto:sevryukovatyu@obl72.ru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Application>LibreOffice/24.2.1.2$Windows_X86_64 LibreOffice_project/db4def46b0453cc22e2d0305797cf981b68ef5ac</Application>
  <AppVersion>15.0000</AppVersion>
  <Pages>3</Pages>
  <Words>868</Words>
  <Characters>6039</Characters>
  <CharactersWithSpaces>7017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2021-05-07T06:37:00Z</dcterms:created>
  <dc:creator>Пользователь</dc:creator>
  <dc:description/>
  <dc:language>ru-RU</dc:language>
  <cp:lastModifiedBy/>
  <cp:lastPrinted>2021-09-02T08:03:00Z</cp:lastPrinted>
  <dcterms:modified xsi:type="dcterms:W3CDTF">2026-10-14T16:42:41Z</dcterms:modified>
  <cp:revision>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