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1019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1" w:firstColumn="0" w:lastColumn="0" w:noHBand="0" w:val="0040"/>
      </w:tblPr>
      <w:tblGrid>
        <w:gridCol w:w="10196"/>
      </w:tblGrid>
      <w:tr>
        <w:trPr>
          <w:trHeight w:val="320" w:hRule="atLeast"/>
        </w:trPr>
        <w:tc>
          <w:tcPr>
            <w:tcW w:w="10196" w:type="dxa"/>
            <w:tcBorders/>
            <w:vAlign w:val="bottom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704850" cy="533400"/>
                  <wp:effectExtent l="0" t="0" r="0" b="0"/>
                  <wp:docPr id="1" name="Рисунок 1" descr="1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1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3" w:hRule="atLeast"/>
        </w:trPr>
        <w:tc>
          <w:tcPr>
            <w:tcW w:w="10196" w:type="dxa"/>
            <w:tcBorders/>
            <w:vAlign w:val="bottom"/>
          </w:tcPr>
          <w:p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ДЕПАРТАМЕНТ СОЦИАЛЬНОГО РАЗВИТИЯ</w:t>
            </w:r>
          </w:p>
          <w:p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Департамент социального развития 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Автономное учреждение 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«Центр помощи детям, оставшимся без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попечения родителей «Дом детства»»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(АУ ТО «Дом детства»)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ул.Семена Ремезова, д. 70, стр.1, г. Тобольск, Тюменская область, 626150, тел 8 (3456)25-91-02</w:t>
            </w:r>
          </w:p>
          <w:p>
            <w:pPr>
              <w:pStyle w:val="Normal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E-mail: </w:t>
            </w:r>
            <w:hyperlink r:id="rId3">
              <w:r>
                <w:rPr>
                  <w:rStyle w:val="Hyperlink"/>
                  <w:lang w:val="en-US"/>
                </w:rPr>
                <w:t xml:space="preserve"> dom_detstva@obl72.ru </w:t>
              </w:r>
              <w:r>
                <w:rPr>
                  <w:rStyle w:val="Hyperlink"/>
                </w:rPr>
                <w:t>ИНН</w:t>
              </w:r>
              <w:r>
                <w:rPr>
                  <w:rStyle w:val="Hyperlink"/>
                  <w:lang w:val="en-US"/>
                </w:rPr>
                <w:t>/</w:t>
              </w:r>
              <w:r>
                <w:rPr>
                  <w:rStyle w:val="Hyperlink"/>
                </w:rPr>
                <w:t>КПП</w:t>
              </w:r>
              <w:r>
                <w:rPr>
                  <w:rStyle w:val="Hyperlink"/>
                  <w:lang w:val="en-US"/>
                </w:rPr>
                <w:t xml:space="preserve"> 7206062170/720601001</w:t>
              </w:r>
            </w:hyperlink>
          </w:p>
          <w:p>
            <w:pPr>
              <w:pStyle w:val="Normal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</w:r>
          </w:p>
        </w:tc>
      </w:tr>
    </w:tbl>
    <w:p>
      <w:pPr>
        <w:pStyle w:val="Normal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Исх. </w:t>
      </w:r>
      <w:r>
        <w:rPr>
          <w:rFonts w:cs="Arial" w:ascii="Arial" w:hAnsi="Arial"/>
          <w:sz w:val="20"/>
          <w:szCs w:val="20"/>
        </w:rPr>
        <w:t>15</w:t>
      </w:r>
      <w:r>
        <w:rPr>
          <w:rFonts w:cs="Arial" w:ascii="Arial" w:hAnsi="Arial"/>
          <w:color w:val="auto"/>
          <w:sz w:val="20"/>
          <w:szCs w:val="20"/>
        </w:rPr>
        <w:t>.10.2026</w:t>
      </w:r>
    </w:p>
    <w:p>
      <w:pPr>
        <w:pStyle w:val="Normal"/>
        <w:jc w:val="center"/>
        <w:rPr>
          <w:rFonts w:ascii="Arial" w:hAnsi="Arial" w:cs="Arial"/>
          <w:b/>
          <w:bCs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b/>
          <w:bCs/>
          <w:color w:val="000000"/>
          <w:sz w:val="20"/>
          <w:szCs w:val="20"/>
          <w:shd w:fill="FFFFFF" w:val="clear"/>
        </w:rPr>
      </w:r>
    </w:p>
    <w:p>
      <w:pPr>
        <w:pStyle w:val="Normal"/>
        <w:jc w:val="center"/>
        <w:rPr>
          <w:rFonts w:ascii="Arial" w:hAnsi="Arial" w:cs="Arial"/>
          <w:b/>
          <w:bCs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b/>
          <w:bCs/>
          <w:color w:val="000000"/>
          <w:sz w:val="20"/>
          <w:szCs w:val="20"/>
          <w:shd w:fill="FFFFFF" w:val="clear"/>
        </w:rPr>
        <w:t>Запрос коммерческого предложения</w:t>
      </w:r>
    </w:p>
    <w:p>
      <w:pPr>
        <w:pStyle w:val="Normal"/>
        <w:jc w:val="center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В целях обоснования начальной (максимальной) цены договора на поставку продуктов питания, прошу направить информацию (коммерческое предложение) согласно таблице в срок до </w:t>
      </w:r>
      <w:r>
        <w:rPr>
          <w:rFonts w:cs="Arial" w:ascii="Arial" w:hAnsi="Arial"/>
          <w:color w:val="000000"/>
          <w:sz w:val="20"/>
          <w:szCs w:val="20"/>
          <w:shd w:fill="FFFFFF" w:val="clear"/>
        </w:rPr>
        <w:t>22</w:t>
      </w: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.10.2026 эл.почту </w:t>
      </w:r>
      <w:hyperlink r:id="rId4">
        <w:r>
          <w:rPr>
            <w:rStyle w:val="Hyperlink"/>
            <w:rFonts w:cs="Arial" w:ascii="Arial" w:hAnsi="Arial"/>
            <w:color w:val="000000"/>
            <w:sz w:val="20"/>
            <w:szCs w:val="20"/>
            <w:shd w:fill="FFFFFF" w:val="clear"/>
          </w:rPr>
          <w:t>sevryukovatyu@obl72.ru</w:t>
        </w:r>
      </w:hyperlink>
      <w:r>
        <w:rPr>
          <w:rStyle w:val="Hyperlink"/>
          <w:rFonts w:cs="Arial" w:ascii="Arial" w:hAnsi="Arial"/>
          <w:color w:val="000000"/>
          <w:sz w:val="20"/>
          <w:szCs w:val="20"/>
          <w:shd w:fill="FFFFFF" w:val="clear"/>
        </w:rPr>
        <w:t xml:space="preserve"> </w:t>
      </w: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КАЧЕСТВО, МАРКИРОВКА ТОВАРА: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1. Качество товара должно соответствовать ГОСТам, ТУ, СТО, ТШ, ТР, ТС на данный вид товара строго заявленные Покупателем в спецификации и подтверждаться имеющимися сертификатами качества, декларациями и протоколами испытаний, подтверждающие достоверность информации: «без ГМО», «не содержит ГМО» выданными заводом производителем.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2. Копии сертификатов, заверенных надлежащим образом, подлежат передаче одновременно с передачей Товара.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3. Качество товара должно соответствовать виду (классу), установленному в Техническом задании. Товар по показателям безопасности и пищевой ценности должен соответствовать единым санитарно-эпидемиологическим и гигиеническим требованиям к продукции (товару), подлежащей санитарно-эпидемиологическому надзору(контролю) (утверждены Решением Комиссии Таможенного союза от 28.05.2010 №299 «О применении санитарных мер в Евразийском экономическом союзе), Техническому регламенту Таможенного союза ТР ТС 021/2011 «О безопасности пищевой продукции» (утвержден Решением Комиссии Таможенного союза от 09.12.2011 № 880).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4. Товар должен иметь маркировку и содержать информацию в соответствии с требованиями действующего законодательства Российской Федерации и спецификации.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СРОКИ И УСЛОВИЯ ПОСТАВКИ ТОВАРА: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1. Поставка Товара осуществляется с 01.01.2027 до 31.12.2027 по заявкам Покупателя 3 (три) раза в неделю (понедельник, среда, пятница) до 12.00 часов.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2. Место поставки товара: Тюменская область, г.Тобольск, улица Семена Ремезова, 70, строение 1.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3. Товар должен быть упакован в тару и упаковку, обеспечивающую сохранность Товара при перевозке и проведении погрузочно-разгрузочных работ.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4. При поставке тара и упаковка не должны иметь признаков повреждения, ржавчины, вмятин и нарушения целостности.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5. Поставка продуктов, требующих соблюдение температурного режима осуществляется автотранспортом с фургоном рефрижератором.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6. Поставщик должен быть зарегистрированным в государственной информационной системе Меркурий (далее- ГИС Меркурий) и добросовестно фиксировать оборот (производство, перемещение, передача Покупателю) подконтрольных товаров;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Style w:val="Style18"/>
          <w:rFonts w:cs="Arial" w:ascii="Arial" w:hAnsi="Arial"/>
          <w:color w:val="000000"/>
          <w:sz w:val="20"/>
          <w:szCs w:val="20"/>
          <w:shd w:fill="FFFFFF" w:val="clear"/>
        </w:rPr>
        <w:t>Сбор данной информации не влечет за собой возникновение каких-либо обязательств Заказчика.</w:t>
      </w:r>
    </w:p>
    <w:p>
      <w:pPr>
        <w:pStyle w:val="Normal"/>
        <w:spacing w:lineRule="auto" w:line="259" w:before="0" w:after="16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spacing w:lineRule="auto" w:line="259" w:before="0" w:after="16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  <w:r>
        <w:br w:type="page"/>
      </w:r>
    </w:p>
    <w:p>
      <w:pPr>
        <w:pStyle w:val="Normal"/>
        <w:spacing w:lineRule="auto" w:line="259" w:before="0" w:after="16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spacing w:lineRule="auto" w:line="259" w:before="0" w:after="16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tbl>
      <w:tblPr>
        <w:tblpPr w:vertAnchor="text" w:horzAnchor="text" w:leftFromText="180" w:rightFromText="180" w:tblpX="-171" w:tblpY="1"/>
        <w:tblOverlap w:val="never"/>
        <w:tblW w:w="10620" w:type="dxa"/>
        <w:jc w:val="left"/>
        <w:tblInd w:w="68" w:type="dxa"/>
        <w:tblLayout w:type="fixed"/>
        <w:tblCellMar>
          <w:top w:w="0" w:type="dxa"/>
          <w:left w:w="6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85"/>
        <w:gridCol w:w="2245"/>
        <w:gridCol w:w="4910"/>
        <w:gridCol w:w="789"/>
        <w:gridCol w:w="978"/>
        <w:gridCol w:w="1312"/>
      </w:tblGrid>
      <w:tr>
        <w:trPr>
          <w:trHeight w:val="1003" w:hRule="exact"/>
          <w:cantSplit w:val="true"/>
        </w:trPr>
        <w:tc>
          <w:tcPr>
            <w:tcW w:w="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товара</w:t>
            </w:r>
          </w:p>
          <w:p>
            <w:pPr>
              <w:pStyle w:val="Normal"/>
              <w:keepNext w:val="true"/>
              <w:keepLine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Качественные характеристики товара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Ед.</w:t>
            </w:r>
          </w:p>
          <w:p>
            <w:pPr>
              <w:pStyle w:val="Normal"/>
              <w:keepNext w:val="true"/>
              <w:keepLines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измерения</w:t>
            </w:r>
          </w:p>
        </w:tc>
        <w:tc>
          <w:tcPr>
            <w:tcW w:w="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ind w:right="-109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Количество (объем)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Цена за ед., руб.</w:t>
            </w:r>
          </w:p>
        </w:tc>
      </w:tr>
      <w:tr>
        <w:trPr>
          <w:trHeight w:val="556" w:hRule="atLeast"/>
          <w:cantSplit w:val="true"/>
        </w:trPr>
        <w:tc>
          <w:tcPr>
            <w:tcW w:w="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Кальмары свежемороженые</w:t>
            </w:r>
          </w:p>
        </w:tc>
        <w:tc>
          <w:tcPr>
            <w:tcW w:w="4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Соответствие ГОСТ 20414-2011. ТР ТС 021/2011. ТР ЕАЭС 040/2016. ТУ/СТО производителя, соответствующего характеристикам:</w:t>
            </w:r>
          </w:p>
          <w:p>
            <w:pPr>
              <w:pStyle w:val="Normal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Вид разделки: Филе с  кожицей; тушка с кожицей. Заморозка блочная. Упакованы в мешки-вкладыши пленочные и картонные коробки.  Упаковка весом не более 26,0 кг. Упаковка без повреждений.</w:t>
            </w:r>
          </w:p>
          <w:p>
            <w:pPr>
              <w:pStyle w:val="Normal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Поверхность чистая без повреждений. Запах и вкус свойственный свежему данному виду продукции. Температура в толще продукта не выше минус 18С. Ярлыки-надписи, наклейки, сроки хранения и реализации хорошо видны.</w:t>
            </w:r>
          </w:p>
          <w:p>
            <w:pPr>
              <w:pStyle w:val="Normal"/>
              <w:ind w:right="113"/>
              <w:jc w:val="both"/>
              <w:rPr>
                <w:color w:val="auto"/>
              </w:rPr>
            </w:pPr>
            <w:r>
              <w:rPr>
                <w:b/>
                <w:bCs/>
                <w:color w:val="auto"/>
                <w:sz w:val="17"/>
                <w:szCs w:val="17"/>
              </w:rPr>
              <w:t>Остаточный срок годности не менее 80% на момент поставки товара.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Форель   свежемороженая</w:t>
            </w:r>
          </w:p>
        </w:tc>
        <w:tc>
          <w:tcPr>
            <w:tcW w:w="4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jc w:val="both"/>
              <w:rPr>
                <w:color w:val="000000"/>
                <w:sz w:val="17"/>
                <w:szCs w:val="17"/>
              </w:rPr>
            </w:pPr>
            <w:r>
              <w:rPr>
                <w:sz w:val="17"/>
                <w:szCs w:val="17"/>
              </w:rPr>
              <w:t>Соответствие ГОСТ 35273.ТР ТС 021/2011. ТР ЕАЭС 040/2016. ТУ/СТО производителя, соответствующего характеристикам:</w:t>
            </w:r>
          </w:p>
          <w:p>
            <w:pPr>
              <w:pStyle w:val="Normal"/>
              <w:jc w:val="both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Вид разделки: потрошеная; обезглавленная; глазированная.</w:t>
            </w:r>
          </w:p>
          <w:p>
            <w:pPr>
              <w:pStyle w:val="Normal"/>
              <w:jc w:val="both"/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sz w:val="17"/>
                <w:szCs w:val="17"/>
              </w:rPr>
              <w:t>Поверхность чистая; рыбы отделены друг от друга. Окраска, свойственная данному виду рыбы. Рыбы без наружных повреждений, без посторонних запахов. Температура в толще продукта не выше минус 18С. Упаковка картонная коробка с мешками вкладышами пленочными. Ярлыки-надписи, наклейки, сроки хранения и реализации хорошо видны.</w:t>
            </w:r>
          </w:p>
          <w:p>
            <w:pPr>
              <w:pStyle w:val="Normal"/>
              <w:jc w:val="both"/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17"/>
                <w:szCs w:val="17"/>
                <w:lang w:val="ru-RU" w:eastAsia="ru-RU" w:bidi="ar-SA"/>
              </w:rPr>
              <w:t>Остаточный срок годности не менее 80% на момент поставки товара.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Горбуша  свежемороженая потрошенная с головой</w:t>
            </w:r>
          </w:p>
        </w:tc>
        <w:tc>
          <w:tcPr>
            <w:tcW w:w="4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Соответствие ГОСТ 35273-2025. ТР ТС 021/2011. ТУ/СТО производителя, соответствующего характеристикам: Вид разделки: ПБГ. Внешний вид: мороженые блоки целые, плотные; поверхность чистая, ровная. Наличие посторонних примесей не допускается.</w:t>
            </w:r>
          </w:p>
          <w:p>
            <w:pPr>
              <w:pStyle w:val="Normal"/>
              <w:jc w:val="both"/>
              <w:rPr>
                <w:sz w:val="18"/>
                <w:szCs w:val="18"/>
              </w:rPr>
            </w:pPr>
            <w:r>
              <w:rPr>
                <w:sz w:val="17"/>
                <w:szCs w:val="17"/>
              </w:rPr>
              <w:t>Окраска, свойственная данному виду рыбы. Упаковка весом не более 24,0 кг, состоящая из двух отдельно упакованных в мешки-вкладыши пленочные блоков. Упаковка без повреждений. Температура в толще продукта не выше минус 18С. Ярлыки-надписи, наклейки, сроки хранения и реализации хорошо видны.</w:t>
            </w:r>
          </w:p>
          <w:p>
            <w:pPr>
              <w:pStyle w:val="Normal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Остаточный срок годности на момент передачи Заказчику не менее 2 месяцев.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528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Сельдь слабосоленая</w:t>
            </w:r>
          </w:p>
        </w:tc>
        <w:tc>
          <w:tcPr>
            <w:tcW w:w="4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ind w:right="113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ГОСТ 815-2019. ТР ЕАЭС 040/2016. ТР ТС 022/2011, ТР ТС 021/2011, ТР ТС 029/2012.Сельдь слабосоленая в неразделанном (целом) виде. Сельди должны быть посолены, уложены в упаковку с добавлением натурального тузлука или солевого раствора. Длина соленых сельдей должна быть более 17см.Массова доля пищевой поваренной соли от6% до8%. Массовая доля жира менее 12%. Сельдь без наружных повреждений. Консистенция мягкая, нежная, сочная. Вкус и запах свойственный соленой сельди данного вида, без постороннего привкуса и запаха. Наличие посторонних примесей не допускается. Упаковка из полимерных материалов до 5,0кг.</w:t>
            </w:r>
          </w:p>
          <w:p>
            <w:pPr>
              <w:pStyle w:val="Normal"/>
              <w:ind w:right="113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допускается бомбаж – вздутие банок, отсутствие этикетки, деформация.</w:t>
            </w:r>
          </w:p>
          <w:p>
            <w:pPr>
              <w:pStyle w:val="Normal"/>
              <w:ind w:right="113"/>
              <w:jc w:val="both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lang w:val="ru-RU" w:eastAsia="ru-RU" w:bidi="ar-SA"/>
              </w:rPr>
              <w:t>Остаточный срок годности не менее 90% на момент поставки товара.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24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Минтай свежемороженый потрошенный без головы</w:t>
            </w:r>
          </w:p>
        </w:tc>
        <w:tc>
          <w:tcPr>
            <w:tcW w:w="491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Соответствие ГОСТ 35273-2025 ТР ТС 021/2011.ТУ/СТО производителя, соответствующего характеристикам:</w:t>
            </w:r>
          </w:p>
          <w:p>
            <w:pPr>
              <w:pStyle w:val="Normal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Вид разделки: потрошеный ; обезглавленный.</w:t>
            </w:r>
          </w:p>
          <w:p>
            <w:pPr>
              <w:pStyle w:val="Normal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Внешний вид: мороженые блоки целые, плотные; поверхность чистая, ровная. Наличие посторонних примесей не допускается.</w:t>
            </w:r>
          </w:p>
          <w:p>
            <w:pPr>
              <w:pStyle w:val="Normal"/>
              <w:jc w:val="both"/>
              <w:rPr>
                <w:color w:val="FF0000"/>
                <w:sz w:val="18"/>
                <w:szCs w:val="18"/>
              </w:rPr>
            </w:pPr>
            <w:r>
              <w:rPr>
                <w:sz w:val="17"/>
                <w:szCs w:val="17"/>
              </w:rPr>
              <w:t>Окраска, свойственная данному виду рыбы. Упаковка весом не более 24,0 кг, состоящая из двух отдельно упакованных в мешки-вкладыши пленочные блоков. Упаковка без повреждений. Температура в толще продукта не выше минус 18С. Ярлыки-надписи, наклейки, сроки хранения и реализации хорошо видны.</w:t>
            </w:r>
          </w:p>
          <w:p>
            <w:pPr>
              <w:pStyle w:val="Normal"/>
              <w:jc w:val="both"/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17"/>
                <w:szCs w:val="17"/>
                <w:shd w:fill="auto" w:val="clear"/>
                <w:lang w:val="ru-RU" w:eastAsia="ru-RU" w:bidi="ar-SA"/>
              </w:rPr>
              <w:t>Остаточный срок годности не менее 80% на момент поставки товара.</w:t>
            </w:r>
          </w:p>
        </w:tc>
        <w:tc>
          <w:tcPr>
            <w:tcW w:w="78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/>
              <w:t>кг</w:t>
            </w:r>
          </w:p>
        </w:tc>
        <w:tc>
          <w:tcPr>
            <w:tcW w:w="97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792</w:t>
            </w:r>
          </w:p>
        </w:tc>
        <w:tc>
          <w:tcPr>
            <w:tcW w:w="13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24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Консервы рыбные натуральные с добавлением масла</w:t>
            </w:r>
          </w:p>
        </w:tc>
        <w:tc>
          <w:tcPr>
            <w:tcW w:w="491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ind w:right="113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ГОСТ 13865-2000. Сайра натуральная с добавлением масла. ТР ЕАЭС 040/2016. ТР ТС 022/2011.Маркировка отображает: дату выработки; ассортиментный знак; номер предприятия – изготовителя; номер смены; «Р» - знак рыбной промышленности. Консервы должны удовлетворять требованиям промышленной стерильности. По показателям безопасности консервы должны соответствовать гигиеническим требованиям, установленным органами государственного санитарно–эпидемиологического надзора.</w:t>
            </w:r>
          </w:p>
          <w:p>
            <w:pPr>
              <w:pStyle w:val="Normal"/>
              <w:ind w:right="113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Вкус приятный, свойственный консервам данного вида, без постороннего привкуса и горечи.</w:t>
            </w:r>
          </w:p>
          <w:p>
            <w:pPr>
              <w:pStyle w:val="Normal"/>
              <w:ind w:right="113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Запах приятный, свойственный консервам данного вида, без постороннего запаха.</w:t>
            </w:r>
          </w:p>
          <w:p>
            <w:pPr>
              <w:pStyle w:val="Normal"/>
              <w:ind w:right="113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Консистенция мяса рыбы - сочная, косей – мягкая.</w:t>
            </w:r>
          </w:p>
          <w:p>
            <w:pPr>
              <w:pStyle w:val="Normal"/>
              <w:ind w:right="113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допускается бомбаж – вздутие банок, покрытые ржавчиной банки, , отсутствие этикетки, деформация.</w:t>
            </w:r>
          </w:p>
          <w:p>
            <w:pPr>
              <w:pStyle w:val="Normal"/>
              <w:ind w:right="113"/>
              <w:jc w:val="both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>Остаточный срок годности не менее 90% на момент поставки товара.</w:t>
            </w:r>
          </w:p>
        </w:tc>
        <w:tc>
          <w:tcPr>
            <w:tcW w:w="78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97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3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Norma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ListParagraph"/>
        <w:ind w:left="284"/>
        <w:jc w:val="both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  <w:t>_________                                                          ________     ______________</w:t>
      </w:r>
    </w:p>
    <w:p>
      <w:pPr>
        <w:pStyle w:val="ListParagraph"/>
        <w:tabs>
          <w:tab w:val="clear" w:pos="708"/>
          <w:tab w:val="left" w:pos="6323" w:leader="none"/>
          <w:tab w:val="left" w:pos="8152" w:leader="none"/>
        </w:tabs>
        <w:ind w:left="284"/>
        <w:jc w:val="both"/>
        <w:rPr>
          <w:rFonts w:ascii="Arial" w:hAnsi="Arial" w:cs="Arial"/>
          <w:color w:val="000000"/>
          <w:sz w:val="16"/>
          <w:szCs w:val="16"/>
          <w:shd w:fill="FFFFFF" w:val="clear"/>
        </w:rPr>
      </w:pPr>
      <w:r>
        <w:rPr>
          <w:rFonts w:cs="Arial" w:ascii="Arial" w:hAnsi="Arial"/>
          <w:color w:val="000000"/>
          <w:sz w:val="16"/>
          <w:szCs w:val="16"/>
          <w:shd w:fill="FFFFFF" w:val="clear"/>
        </w:rPr>
        <w:t>должность                                                                                                             подпись</w:t>
        <w:tab/>
        <w:t>ФИО</w:t>
      </w:r>
    </w:p>
    <w:sectPr>
      <w:type w:val="nextPage"/>
      <w:pgSz w:w="11906" w:h="16838"/>
      <w:pgMar w:left="709" w:right="850" w:gutter="0" w:header="0" w:top="426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uiPriority="0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c5c9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2"/>
    <w:qFormat/>
    <w:rsid w:val="00f76952"/>
    <w:pPr>
      <w:keepNext w:val="true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2"/>
    <w:qFormat/>
    <w:rsid w:val="00f76952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f76952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Основной текст Знак"/>
    <w:basedOn w:val="DefaultParagraphFont"/>
    <w:qFormat/>
    <w:rsid w:val="002c5c98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Hyperlink">
    <w:name w:val="Hyperlink"/>
    <w:uiPriority w:val="99"/>
    <w:rsid w:val="002c5c98"/>
    <w:rPr>
      <w:color w:val="0000FF"/>
      <w:u w:val="single"/>
    </w:rPr>
  </w:style>
  <w:style w:type="character" w:styleId="1" w:customStyle="1">
    <w:name w:val="Стиль1 Знак"/>
    <w:link w:val="13"/>
    <w:qFormat/>
    <w:rsid w:val="002c5c98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Style12" w:customStyle="1">
    <w:name w:val="Текст выноски Знак"/>
    <w:basedOn w:val="DefaultParagraphFont"/>
    <w:link w:val="BalloonText"/>
    <w:qFormat/>
    <w:rsid w:val="002c5c98"/>
    <w:rPr>
      <w:rFonts w:ascii="Segoe UI" w:hAnsi="Segoe UI" w:eastAsia="Times New Roman" w:cs="Segoe UI"/>
      <w:sz w:val="18"/>
      <w:szCs w:val="18"/>
      <w:lang w:eastAsia="ru-RU"/>
    </w:rPr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sid w:val="009d7704"/>
    <w:rPr>
      <w:color w:val="605E5C"/>
      <w:shd w:fill="E1DFDD" w:val="clear"/>
    </w:rPr>
  </w:style>
  <w:style w:type="character" w:styleId="12" w:customStyle="1">
    <w:name w:val="Заголовок 1 Знак"/>
    <w:basedOn w:val="DefaultParagraphFont"/>
    <w:qFormat/>
    <w:rsid w:val="00f76952"/>
    <w:rPr>
      <w:rFonts w:ascii="Times New Roman" w:hAnsi="Times New Roman" w:eastAsia="Times New Roman" w:cs="Times New Roman"/>
      <w:sz w:val="32"/>
      <w:szCs w:val="32"/>
      <w:lang w:eastAsia="ru-RU"/>
    </w:rPr>
  </w:style>
  <w:style w:type="character" w:styleId="2" w:customStyle="1">
    <w:name w:val="Заголовок 2 Знак"/>
    <w:basedOn w:val="DefaultParagraphFont"/>
    <w:qFormat/>
    <w:rsid w:val="00f76952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styleId="3" w:customStyle="1">
    <w:name w:val="Заголовок 3 Знак"/>
    <w:basedOn w:val="DefaultParagraphFont"/>
    <w:semiHidden/>
    <w:qFormat/>
    <w:rsid w:val="00f76952"/>
    <w:rPr>
      <w:rFonts w:ascii="Cambria" w:hAnsi="Cambria" w:eastAsia="Times New Roman" w:cs="Times New Roman"/>
      <w:b/>
      <w:bCs/>
      <w:sz w:val="26"/>
      <w:szCs w:val="26"/>
      <w:lang w:val="x-none" w:eastAsia="x-none"/>
    </w:rPr>
  </w:style>
  <w:style w:type="character" w:styleId="Style13" w:customStyle="1">
    <w:name w:val="Основной текст с отступом Знак"/>
    <w:basedOn w:val="DefaultParagraphFont"/>
    <w:qFormat/>
    <w:rsid w:val="00f76952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4" w:customStyle="1">
    <w:name w:val="Цветовое выделение"/>
    <w:qFormat/>
    <w:rsid w:val="00f76952"/>
    <w:rPr>
      <w:b/>
      <w:bCs/>
      <w:color w:val="26282F"/>
    </w:rPr>
  </w:style>
  <w:style w:type="character" w:styleId="Style15" w:customStyle="1">
    <w:name w:val="Гипертекстовая ссылка"/>
    <w:qFormat/>
    <w:rsid w:val="00f76952"/>
    <w:rPr>
      <w:b/>
      <w:bCs/>
      <w:color w:val="106BBE"/>
    </w:rPr>
  </w:style>
  <w:style w:type="character" w:styleId="HTMLCite">
    <w:name w:val="HTML Cite"/>
    <w:qFormat/>
    <w:rsid w:val="00f76952"/>
    <w:rPr>
      <w:i/>
      <w:iCs/>
    </w:rPr>
  </w:style>
  <w:style w:type="character" w:styleId="Style16" w:customStyle="1">
    <w:name w:val="Верхний колонтитул Знак"/>
    <w:basedOn w:val="DefaultParagraphFont"/>
    <w:qFormat/>
    <w:rsid w:val="00f7695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Нижний колонтитул Знак"/>
    <w:basedOn w:val="DefaultParagraphFont"/>
    <w:uiPriority w:val="99"/>
    <w:qFormat/>
    <w:rsid w:val="00f7695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Apple-converted-space" w:customStyle="1">
    <w:name w:val="apple-converted-space"/>
    <w:basedOn w:val="DefaultParagraphFont"/>
    <w:qFormat/>
    <w:rsid w:val="00f76952"/>
    <w:rPr/>
  </w:style>
  <w:style w:type="character" w:styleId="FontStyle12" w:customStyle="1">
    <w:name w:val="Font Style12"/>
    <w:uiPriority w:val="99"/>
    <w:qFormat/>
    <w:rsid w:val="00f76952"/>
    <w:rPr>
      <w:rFonts w:ascii="Times New Roman" w:hAnsi="Times New Roman" w:cs="Times New Roman"/>
      <w:sz w:val="22"/>
      <w:szCs w:val="22"/>
    </w:rPr>
  </w:style>
  <w:style w:type="character" w:styleId="Strong">
    <w:name w:val="Strong"/>
    <w:uiPriority w:val="22"/>
    <w:qFormat/>
    <w:rsid w:val="00f76952"/>
    <w:rPr>
      <w:b/>
      <w:bCs/>
    </w:rPr>
  </w:style>
  <w:style w:type="character" w:styleId="Exact" w:customStyle="1">
    <w:name w:val="Основной текст Exact"/>
    <w:qFormat/>
    <w:rsid w:val="00f76952"/>
    <w:rPr>
      <w:rFonts w:ascii="Times New Roman" w:hAnsi="Times New Roman" w:cs="Times New Roman"/>
      <w:strike w:val="false"/>
      <w:dstrike w:val="false"/>
      <w:sz w:val="18"/>
      <w:szCs w:val="18"/>
      <w:u w:val="none"/>
      <w:effect w:val="none"/>
    </w:rPr>
  </w:style>
  <w:style w:type="character" w:styleId="21" w:customStyle="1">
    <w:name w:val="Основной текст (2)_"/>
    <w:link w:val="212"/>
    <w:qFormat/>
    <w:locked/>
    <w:rsid w:val="00f76952"/>
    <w:rPr>
      <w:b/>
      <w:bCs/>
      <w:shd w:fill="FFFFFF" w:val="clear"/>
    </w:rPr>
  </w:style>
  <w:style w:type="character" w:styleId="S10" w:customStyle="1">
    <w:name w:val="s_10"/>
    <w:qFormat/>
    <w:rsid w:val="00f76952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f76952"/>
    <w:rPr>
      <w:color w:val="605E5C"/>
      <w:shd w:fill="E1DFDD" w:val="clear"/>
    </w:rPr>
  </w:style>
  <w:style w:type="character" w:styleId="Style18">
    <w:name w:val="Основной шрифт абзаца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rsid w:val="002c5c98"/>
    <w:pPr>
      <w:jc w:val="both"/>
    </w:pPr>
    <w:rPr>
      <w:sz w:val="28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</w:rPr>
  </w:style>
  <w:style w:type="paragraph" w:styleId="13" w:customStyle="1">
    <w:name w:val="Стиль1"/>
    <w:basedOn w:val="BodyText"/>
    <w:link w:val="1"/>
    <w:qFormat/>
    <w:rsid w:val="002c5c98"/>
    <w:pPr>
      <w:jc w:val="center"/>
    </w:pPr>
    <w:rPr>
      <w:b/>
    </w:rPr>
  </w:style>
  <w:style w:type="paragraph" w:styleId="BalloonText">
    <w:name w:val="Balloon Text"/>
    <w:basedOn w:val="Normal"/>
    <w:link w:val="Style12"/>
    <w:unhideWhenUsed/>
    <w:qFormat/>
    <w:rsid w:val="002c5c98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74333"/>
    <w:pPr>
      <w:spacing w:before="0" w:after="0"/>
      <w:ind w:left="720"/>
      <w:contextualSpacing/>
    </w:pPr>
    <w:rPr/>
  </w:style>
  <w:style w:type="paragraph" w:styleId="NoSpacing">
    <w:name w:val="No Spacing"/>
    <w:basedOn w:val="Normal"/>
    <w:uiPriority w:val="1"/>
    <w:qFormat/>
    <w:rsid w:val="00cd1205"/>
    <w:pPr>
      <w:ind w:left="2160"/>
    </w:pPr>
    <w:rPr>
      <w:rFonts w:ascii="Calibri" w:hAnsi="Calibri" w:eastAsia="Calibri"/>
      <w:color w:val="5A5A5A"/>
      <w:sz w:val="20"/>
      <w:szCs w:val="20"/>
      <w:lang w:eastAsia="en-US"/>
    </w:rPr>
  </w:style>
  <w:style w:type="paragraph" w:styleId="BodyTextIndent">
    <w:name w:val="Body Text Indent"/>
    <w:basedOn w:val="Normal"/>
    <w:link w:val="Style13"/>
    <w:rsid w:val="00f76952"/>
    <w:pPr>
      <w:jc w:val="both"/>
    </w:pPr>
    <w:rPr>
      <w:sz w:val="28"/>
      <w:szCs w:val="28"/>
    </w:rPr>
  </w:style>
  <w:style w:type="paragraph" w:styleId="Style131" w:customStyle="1">
    <w:name w:val="Style13"/>
    <w:basedOn w:val="Normal"/>
    <w:qFormat/>
    <w:rsid w:val="00f76952"/>
    <w:pPr>
      <w:widowControl w:val="false"/>
      <w:spacing w:lineRule="exact" w:line="175"/>
      <w:jc w:val="both"/>
    </w:pPr>
    <w:rPr>
      <w:rFonts w:eastAsia="Calibri"/>
    </w:rPr>
  </w:style>
  <w:style w:type="paragraph" w:styleId="211" w:customStyle="1">
    <w:name w:val="Основной текст 21"/>
    <w:basedOn w:val="Normal"/>
    <w:qFormat/>
    <w:rsid w:val="00f76952"/>
    <w:pPr>
      <w:ind w:firstLine="851"/>
      <w:jc w:val="both"/>
    </w:pPr>
    <w:rPr>
      <w:szCs w:val="20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6"/>
    <w:rsid w:val="00f76952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Footer">
    <w:name w:val="Footer"/>
    <w:basedOn w:val="Normal"/>
    <w:link w:val="Style17"/>
    <w:uiPriority w:val="99"/>
    <w:rsid w:val="00f76952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ConsNonformat" w:customStyle="1">
    <w:name w:val="ConsNonformat"/>
    <w:qFormat/>
    <w:rsid w:val="00f76952"/>
    <w:pPr>
      <w:widowControl/>
      <w:suppressAutoHyphens w:val="true"/>
      <w:bidi w:val="0"/>
      <w:spacing w:lineRule="auto" w:line="240" w:before="0" w:after="0"/>
      <w:ind w:right="19772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212" w:customStyle="1">
    <w:name w:val="Основной текст (2)1"/>
    <w:basedOn w:val="Normal"/>
    <w:link w:val="21"/>
    <w:qFormat/>
    <w:rsid w:val="00f76952"/>
    <w:pPr>
      <w:widowControl w:val="false"/>
      <w:shd w:val="clear" w:color="auto" w:fill="FFFFFF"/>
      <w:spacing w:lineRule="atLeast" w:line="240" w:before="0" w:after="240"/>
      <w:jc w:val="both"/>
    </w:pPr>
    <w:rPr>
      <w:rFonts w:ascii="Calibri" w:hAnsi="Calibri" w:eastAsia="Calibri" w:cs="" w:asciiTheme="minorHAnsi" w:cstheme="minorBidi" w:eastAsiaTheme="minorHAnsi" w:hAnsiTheme="minorHAnsi"/>
      <w:b/>
      <w:bCs/>
      <w:sz w:val="22"/>
      <w:szCs w:val="22"/>
      <w:shd w:fill="FFFFFF" w:val="clear"/>
      <w:lang w:eastAsia="en-US"/>
    </w:rPr>
  </w:style>
  <w:style w:type="paragraph" w:styleId="S1" w:customStyle="1">
    <w:name w:val="s_1"/>
    <w:basedOn w:val="Normal"/>
    <w:qFormat/>
    <w:rsid w:val="00f76952"/>
    <w:pPr>
      <w:spacing w:beforeAutospacing="1" w:afterAutospacing="1"/>
    </w:pPr>
    <w:rPr/>
  </w:style>
  <w:style w:type="paragraph" w:styleId="TableParagraph" w:customStyle="1">
    <w:name w:val="Table Paragraph"/>
    <w:basedOn w:val="Normal"/>
    <w:uiPriority w:val="1"/>
    <w:qFormat/>
    <w:rsid w:val="00f76952"/>
    <w:pPr>
      <w:widowControl w:val="false"/>
    </w:pPr>
    <w:rPr>
      <w:sz w:val="22"/>
      <w:szCs w:val="22"/>
      <w:lang w:eastAsia="en-US"/>
    </w:rPr>
  </w:style>
  <w:style w:type="paragraph" w:styleId="Style22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0c493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ternat_75@bk.ru%20&#1048;&#1053;&#1053;/&#1050;&#1055;&#1055;%207206062170/720601001" TargetMode="External"/><Relationship Id="rId4" Type="http://schemas.openxmlformats.org/officeDocument/2006/relationships/hyperlink" Target="mailto:sevryukovatyu@obl72.ru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Application>LibreOffice/24.2.1.2$Windows_X86_64 LibreOffice_project/db4def46b0453cc22e2d0305797cf981b68ef5ac</Application>
  <AppVersion>15.0000</AppVersion>
  <Pages>3</Pages>
  <Words>892</Words>
  <Characters>6343</Characters>
  <CharactersWithSpaces>7336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2021-05-07T06:37:00Z</dcterms:created>
  <dc:creator>Пользователь</dc:creator>
  <dc:description/>
  <dc:language>ru-RU</dc:language>
  <cp:lastModifiedBy/>
  <cp:lastPrinted>2024-10-11T09:35:29Z</cp:lastPrinted>
  <dcterms:modified xsi:type="dcterms:W3CDTF">2026-10-14T16:49:23Z</dcterms:modified>
  <cp:revision>80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