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tbl>
      <w:tblPr>
        <w:tblW w:w="1019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1" w:firstColumn="0" w:lastColumn="0" w:noHBand="0" w:val="0040"/>
      </w:tblPr>
      <w:tblGrid>
        <w:gridCol w:w="10196"/>
      </w:tblGrid>
      <w:tr>
        <w:trPr>
          <w:trHeight w:val="320" w:hRule="atLeast"/>
        </w:trPr>
        <w:tc>
          <w:tcPr>
            <w:tcW w:w="10196" w:type="dxa"/>
            <w:tcBorders/>
            <w:vAlign w:val="bottom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/>
              <w:drawing>
                <wp:inline distT="0" distB="0" distL="0" distR="0">
                  <wp:extent cx="704850" cy="533400"/>
                  <wp:effectExtent l="0" t="0" r="0" b="0"/>
                  <wp:docPr id="1" name="Рисунок 1" descr="1_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1_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93" w:hRule="atLeast"/>
        </w:trPr>
        <w:tc>
          <w:tcPr>
            <w:tcW w:w="10196" w:type="dxa"/>
            <w:tcBorders/>
            <w:vAlign w:val="bottom"/>
          </w:tcPr>
          <w:p>
            <w:pPr>
              <w:pStyle w:val="BodyTex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ДЕПАРТАМЕНТ СОЦИАЛЬНОГО РАЗВИТИЯ</w:t>
            </w:r>
          </w:p>
          <w:p>
            <w:pPr>
              <w:pStyle w:val="BodyTex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ТЮМЕНСКОЙ ОБЛАСТИ</w:t>
            </w:r>
          </w:p>
          <w:p>
            <w:pPr>
              <w:pStyle w:val="NoSpacing"/>
              <w:ind w:left="0"/>
              <w:jc w:val="center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  <w:t>Департамент социального развития Тюменской области</w:t>
            </w:r>
          </w:p>
          <w:p>
            <w:pPr>
              <w:pStyle w:val="NoSpacing"/>
              <w:ind w:left="0"/>
              <w:jc w:val="center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  <w:t>Автономное учреждение Тюменской области</w:t>
            </w:r>
          </w:p>
          <w:p>
            <w:pPr>
              <w:pStyle w:val="NoSpacing"/>
              <w:ind w:left="0"/>
              <w:jc w:val="center"/>
              <w:rPr>
                <w:rFonts w:ascii="Times New Roman" w:hAnsi="Times New Roman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30"/>
                <w:szCs w:val="30"/>
              </w:rPr>
              <w:t>«Центр помощи детям, оставшимся без</w:t>
            </w:r>
          </w:p>
          <w:p>
            <w:pPr>
              <w:pStyle w:val="NoSpacing"/>
              <w:ind w:left="0"/>
              <w:jc w:val="center"/>
              <w:rPr>
                <w:rFonts w:ascii="Times New Roman" w:hAnsi="Times New Roman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30"/>
                <w:szCs w:val="30"/>
              </w:rPr>
              <w:t>попечения родителей «Дом детства»»</w:t>
            </w:r>
          </w:p>
          <w:p>
            <w:pPr>
              <w:pStyle w:val="NoSpacing"/>
              <w:ind w:left="0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30"/>
                <w:szCs w:val="30"/>
              </w:rPr>
              <w:t>(АУ ТО «Дом детства»)</w:t>
            </w:r>
          </w:p>
          <w:p>
            <w:pPr>
              <w:pStyle w:val="NoSpacing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ул.Семена Ремезова, д. 70, стр.1, г. Тобольск, Тюменская область, 626150, тел 8 (3456)25-91-02</w:t>
            </w:r>
          </w:p>
          <w:p>
            <w:pPr>
              <w:pStyle w:val="Normal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 xml:space="preserve">E-mail: </w:t>
            </w:r>
            <w:hyperlink r:id="rId3">
              <w:r>
                <w:rPr>
                  <w:rStyle w:val="Hyperlink"/>
                  <w:lang w:val="en-US"/>
                </w:rPr>
                <w:t xml:space="preserve"> dom_detstva@obl72.ru </w:t>
              </w:r>
              <w:r>
                <w:rPr>
                  <w:rStyle w:val="Hyperlink"/>
                </w:rPr>
                <w:t>ИНН</w:t>
              </w:r>
              <w:r>
                <w:rPr>
                  <w:rStyle w:val="Hyperlink"/>
                  <w:lang w:val="en-US"/>
                </w:rPr>
                <w:t>/</w:t>
              </w:r>
              <w:r>
                <w:rPr>
                  <w:rStyle w:val="Hyperlink"/>
                </w:rPr>
                <w:t>КПП</w:t>
              </w:r>
              <w:r>
                <w:rPr>
                  <w:rStyle w:val="Hyperlink"/>
                  <w:lang w:val="en-US"/>
                </w:rPr>
                <w:t xml:space="preserve"> 7206062170/720601001</w:t>
              </w:r>
            </w:hyperlink>
          </w:p>
          <w:p>
            <w:pPr>
              <w:pStyle w:val="Normal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</w:r>
          </w:p>
        </w:tc>
      </w:tr>
    </w:tbl>
    <w:p>
      <w:pPr>
        <w:pStyle w:val="Normal"/>
        <w:rPr>
          <w:rFonts w:ascii="Arial" w:hAnsi="Arial" w:cs="Arial"/>
          <w:lang w:val="en-US"/>
        </w:rPr>
      </w:pPr>
      <w:r>
        <w:rPr>
          <w:rFonts w:cs="Arial" w:ascii="Arial" w:hAnsi="Arial"/>
          <w:lang w:val="en-US"/>
        </w:rPr>
      </w:r>
    </w:p>
    <w:p>
      <w:pPr>
        <w:pStyle w:val="Normal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Исх.</w:t>
      </w:r>
      <w:r>
        <w:rPr>
          <w:rFonts w:cs="Arial" w:ascii="Arial" w:hAnsi="Arial"/>
          <w:color w:val="auto"/>
          <w:sz w:val="20"/>
          <w:szCs w:val="20"/>
        </w:rPr>
        <w:t xml:space="preserve"> </w:t>
      </w:r>
      <w:r>
        <w:rPr>
          <w:rFonts w:cs="Arial" w:ascii="Arial" w:hAnsi="Arial"/>
          <w:color w:val="auto"/>
          <w:sz w:val="20"/>
          <w:szCs w:val="20"/>
        </w:rPr>
        <w:t>15</w:t>
      </w:r>
      <w:r>
        <w:rPr>
          <w:rFonts w:cs="Arial" w:ascii="Arial" w:hAnsi="Arial"/>
          <w:color w:val="auto"/>
          <w:sz w:val="20"/>
          <w:szCs w:val="20"/>
        </w:rPr>
        <w:t>.10.2026</w:t>
      </w:r>
    </w:p>
    <w:p>
      <w:pPr>
        <w:pStyle w:val="Normal"/>
        <w:jc w:val="center"/>
        <w:rPr>
          <w:rFonts w:ascii="Arial" w:hAnsi="Arial" w:cs="Arial"/>
          <w:b/>
          <w:bCs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b/>
          <w:bCs/>
          <w:color w:val="000000"/>
          <w:sz w:val="20"/>
          <w:szCs w:val="20"/>
          <w:shd w:fill="FFFFFF" w:val="clear"/>
        </w:rPr>
      </w:r>
    </w:p>
    <w:p>
      <w:pPr>
        <w:pStyle w:val="Normal"/>
        <w:jc w:val="center"/>
        <w:rPr>
          <w:rFonts w:ascii="Arial" w:hAnsi="Arial" w:cs="Arial"/>
          <w:b/>
          <w:bCs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b/>
          <w:bCs/>
          <w:color w:val="000000"/>
          <w:sz w:val="20"/>
          <w:szCs w:val="20"/>
          <w:shd w:fill="FFFFFF" w:val="clear"/>
        </w:rPr>
        <w:t>Запрос коммерческого предложения</w:t>
      </w:r>
    </w:p>
    <w:p>
      <w:pPr>
        <w:pStyle w:val="Normal"/>
        <w:jc w:val="center"/>
        <w:rPr>
          <w:rFonts w:ascii="Arial" w:hAnsi="Arial" w:cs="Arial"/>
          <w:color w:val="000000"/>
          <w:sz w:val="26"/>
          <w:szCs w:val="26"/>
          <w:shd w:fill="FFFFFF" w:val="clear"/>
        </w:rPr>
      </w:pPr>
      <w:r>
        <w:rPr>
          <w:rFonts w:cs="Arial" w:ascii="Arial" w:hAnsi="Arial"/>
          <w:color w:val="000000"/>
          <w:sz w:val="26"/>
          <w:szCs w:val="26"/>
          <w:shd w:fill="FFFFFF" w:val="clear"/>
        </w:rPr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 xml:space="preserve">В целях обоснования начальной (максимальной) цены договора на </w:t>
      </w:r>
      <w:bookmarkStart w:id="0" w:name="_GoBack"/>
      <w:r>
        <w:rPr>
          <w:rFonts w:cs="Arial" w:ascii="Arial" w:hAnsi="Arial"/>
          <w:color w:val="000000"/>
          <w:sz w:val="20"/>
          <w:szCs w:val="20"/>
          <w:shd w:fill="FFFFFF" w:val="clear"/>
        </w:rPr>
        <w:t>поставку продуктов питания</w:t>
      </w:r>
      <w:bookmarkEnd w:id="0"/>
      <w:r>
        <w:rPr>
          <w:rFonts w:cs="Arial" w:ascii="Arial" w:hAnsi="Arial"/>
          <w:color w:val="000000"/>
          <w:sz w:val="20"/>
          <w:szCs w:val="20"/>
          <w:shd w:fill="FFFFFF" w:val="clear"/>
        </w:rPr>
        <w:t xml:space="preserve">, прошу направить информацию (коммерческое предложение) согласно таблице в срок до </w:t>
      </w:r>
      <w:r>
        <w:rPr>
          <w:rFonts w:cs="Arial" w:ascii="Arial" w:hAnsi="Arial"/>
          <w:color w:val="000000"/>
          <w:sz w:val="20"/>
          <w:szCs w:val="20"/>
          <w:shd w:fill="FFFFFF" w:val="clear"/>
        </w:rPr>
        <w:t>22</w:t>
      </w:r>
      <w:r>
        <w:rPr>
          <w:rFonts w:cs="Arial" w:ascii="Arial" w:hAnsi="Arial"/>
          <w:color w:val="000000"/>
          <w:sz w:val="20"/>
          <w:szCs w:val="20"/>
          <w:shd w:fill="FFFFFF" w:val="clear"/>
        </w:rPr>
        <w:t xml:space="preserve">.10.2026 на эл.почту </w:t>
      </w:r>
      <w:r>
        <w:rPr>
          <w:rStyle w:val="Hyperlink"/>
          <w:rFonts w:cs="Arial" w:ascii="Arial" w:hAnsi="Arial"/>
          <w:sz w:val="20"/>
          <w:szCs w:val="20"/>
          <w:shd w:fill="FFFFFF" w:val="clear"/>
        </w:rPr>
        <w:t xml:space="preserve">sevryukovatyu@obl72.ru </w:t>
      </w:r>
      <w:r>
        <w:rPr>
          <w:rFonts w:cs="Arial" w:ascii="Arial" w:hAnsi="Arial"/>
          <w:color w:val="000000"/>
          <w:sz w:val="20"/>
          <w:szCs w:val="20"/>
          <w:shd w:fill="FFFFFF" w:val="clear"/>
        </w:rPr>
        <w:t>: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КАЧЕСТВО, МАРКИРОВКА ТОВАРА: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 xml:space="preserve">1. Качество товара должно соответствовать ГОСТам, ТУ, СТО, ТШ, ТР, ТС на данный вид товара строго заявленные Покупателем в спецификации и подтверждаться имеющимися сертификатами качества, декларациями и протоколами испытаний, подтверждающие достоверность информации: «без ГМО», «не содержит ГМО» выданными заводом производителем. 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 xml:space="preserve">2. Копии сертификатов, заверенных надлежащим образом, подлежат передаче одновременно с передачей Товара. 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3. Качество товара должно соответствовать виду (классу), установленному в Техническом задании. Товар по показателям безопасности и пищевой ценности должен соответствовать единым санитарно-эпидемиологическим и гигиеническим требованиям к продукции (товару), подлежащей санитарно-эпидемиологическому надзору(контролю) (утверждены Решением Комиссии Таможенного союза от 28.05.2010 №299 «О применении санитарных мер в Евразийском экономическом союзе), Техническому регламенту Таможенного союза ТР ТС 021/2011 «О безопасности пищевой продукции» (утвержден Решением Комиссии Таможенного союза от 09.12.2011 № 880).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4. Товар должен иметь маркировку и содержать информацию в соответствии с требованиями действующего законодательства Российской Федерации и спецификации.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СРОКИ И УСЛОВИЯ ПОСТАВКИ ТОВАРА: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1. Поставка Товара осуществляется с 01.01.2027 по 31.12.2027 по заявкам Покупателя 3 (три) раза в неделю (понедельник, среда, пятница) до 12.00 часов.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2. Место поставки товара: Тюменская область, г.Тобольск, улица Семена Ремезова, 70, строение 1.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3. Товар должен быть упакован в тару и упаковку, обеспечивающую сохранность Товара при перевозке и проведении погрузочно-разгрузочных работ.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 xml:space="preserve">4. При поставке тара и упаковка не должны иметь признаков повреждения, ржавчины, вмятин и нарушения целостности. 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5. Поставка продуктов, требующих соблюдение температурного режима осуществляется автотранспортом с фургоном рефрижератором.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6. Поставщик должен быть зарегистрированным в государственной информационной системе Меркурий (далее- ГИС Меркурий) и добросовестно фиксировать оборот (производство, перемещение, передача Покупателю) подконтрольных товаров;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Style w:val="Style18"/>
          <w:rFonts w:cs="Arial" w:ascii="Arial" w:hAnsi="Arial"/>
          <w:color w:val="000000"/>
          <w:sz w:val="20"/>
          <w:szCs w:val="20"/>
          <w:shd w:fill="FFFFFF" w:val="clear"/>
        </w:rPr>
        <w:t>Сбор данной информации не влечет за собой возникновение каких-либо обязательств Заказчика.</w:t>
      </w:r>
    </w:p>
    <w:tbl>
      <w:tblPr>
        <w:tblW w:w="10635" w:type="dxa"/>
        <w:jc w:val="left"/>
        <w:tblInd w:w="-40" w:type="dxa"/>
        <w:tblLayout w:type="fixed"/>
        <w:tblCellMar>
          <w:top w:w="0" w:type="dxa"/>
          <w:left w:w="6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377"/>
        <w:gridCol w:w="1979"/>
        <w:gridCol w:w="593"/>
        <w:gridCol w:w="904"/>
        <w:gridCol w:w="5683"/>
        <w:gridCol w:w="1098"/>
      </w:tblGrid>
      <w:tr>
        <w:trPr>
          <w:trHeight w:val="750" w:hRule="exact"/>
          <w:cantSplit w:val="true"/>
        </w:trPr>
        <w:tc>
          <w:tcPr>
            <w:tcW w:w="3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keepNext w:val="true"/>
              <w:keepLines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19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keepNext w:val="true"/>
              <w:keepLines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товара</w:t>
            </w:r>
          </w:p>
          <w:p>
            <w:pPr>
              <w:pStyle w:val="Normal"/>
              <w:keepNext w:val="true"/>
              <w:keepLines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5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Ед.</w:t>
            </w:r>
          </w:p>
          <w:p>
            <w:pPr>
              <w:pStyle w:val="Normal"/>
              <w:keepNext w:val="true"/>
              <w:keepLines/>
              <w:jc w:val="center"/>
              <w:rPr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измерения</w:t>
            </w:r>
          </w:p>
        </w:tc>
        <w:tc>
          <w:tcPr>
            <w:tcW w:w="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ind w:right="-109"/>
              <w:jc w:val="center"/>
              <w:rPr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Количество (объем)</w:t>
            </w:r>
          </w:p>
        </w:tc>
        <w:tc>
          <w:tcPr>
            <w:tcW w:w="5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keepNext w:val="true"/>
              <w:keepLines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Качественные характеристики товара</w:t>
            </w:r>
          </w:p>
        </w:tc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Цена за ед., руб.</w:t>
            </w:r>
          </w:p>
        </w:tc>
      </w:tr>
      <w:tr>
        <w:trPr>
          <w:trHeight w:val="492" w:hRule="atLeast"/>
          <w:cantSplit w:val="true"/>
        </w:trPr>
        <w:tc>
          <w:tcPr>
            <w:tcW w:w="377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79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keepNext w:val="true"/>
              <w:keepLines/>
              <w:rPr>
                <w:color w:val="000000"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Картофель</w:t>
            </w:r>
          </w:p>
        </w:tc>
        <w:tc>
          <w:tcPr>
            <w:tcW w:w="593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04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7100</w:t>
            </w:r>
          </w:p>
        </w:tc>
        <w:tc>
          <w:tcPr>
            <w:tcW w:w="5683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ind w:right="113"/>
              <w:jc w:val="both"/>
              <w:rPr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соответствие ГОСТ 7176-2017. ТР ТС 021/2011.Картофель продовольственный поздний, стандартный, клубни здоровые, целые, сухие, не проросшие, не увядшие, не загрязнённые, с плотной кожурой.  Без излишней влажности, не позеленевший, без коричневых пятен. Массовая доля клубней не соответствующих требованиям не более 6%. Упаковка - сетчатые мешки не более 25,0 кг.</w:t>
            </w:r>
          </w:p>
        </w:tc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</w:tr>
      <w:tr>
        <w:trPr>
          <w:trHeight w:val="556" w:hRule="atLeast"/>
          <w:cantSplit w:val="true"/>
        </w:trPr>
        <w:tc>
          <w:tcPr>
            <w:tcW w:w="3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9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TableParagraph"/>
              <w:spacing w:lineRule="exact" w:line="261" w:before="43" w:after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Капуста</w:t>
            </w:r>
            <w:r>
              <w:rPr>
                <w:bCs/>
                <w:spacing w:val="26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белокачанная</w:t>
            </w:r>
          </w:p>
          <w:p>
            <w:pPr>
              <w:pStyle w:val="Normal"/>
              <w:keepNext w:val="true"/>
              <w:keepLines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5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1650</w:t>
            </w:r>
          </w:p>
        </w:tc>
        <w:tc>
          <w:tcPr>
            <w:tcW w:w="5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jc w:val="both"/>
              <w:rPr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соответствие ГОСТ Р 51809-2001. ТР ТС 021/2011. Среднепоздняя, позднеспелая.  Белокочанная, стандартная. Кочаны свежие, целые, здоровые, не рыхлые, плотные, чистые, зачищенные до плотно облегающих зелёных листьев с кочерыгой длиной не более 3см. Упаковка - сетчатые мешки не более 25,0 кг.</w:t>
            </w:r>
          </w:p>
        </w:tc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</w:tr>
      <w:tr>
        <w:trPr>
          <w:trHeight w:val="556" w:hRule="atLeast"/>
          <w:cantSplit w:val="true"/>
        </w:trPr>
        <w:tc>
          <w:tcPr>
            <w:tcW w:w="3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9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TableParagraph"/>
              <w:spacing w:lineRule="exact" w:line="261" w:before="43" w:after="0"/>
              <w:ind w:hanging="102" w:left="102"/>
              <w:rPr>
                <w:bCs/>
                <w:w w:val="105"/>
                <w:sz w:val="20"/>
                <w:szCs w:val="20"/>
              </w:rPr>
            </w:pPr>
            <w:r>
              <w:rPr>
                <w:bCs/>
                <w:w w:val="105"/>
                <w:sz w:val="20"/>
                <w:szCs w:val="20"/>
              </w:rPr>
              <w:t>Морковь</w:t>
            </w:r>
          </w:p>
          <w:p>
            <w:pPr>
              <w:pStyle w:val="Normal"/>
              <w:keepNext w:val="true"/>
              <w:keepLines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5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1750</w:t>
            </w:r>
          </w:p>
        </w:tc>
        <w:tc>
          <w:tcPr>
            <w:tcW w:w="5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jc w:val="both"/>
              <w:rPr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соответствие ГОСТ 32284-2013.</w:t>
            </w:r>
            <w:r>
              <w:rPr>
                <w:color w:val="000000"/>
                <w:sz w:val="17"/>
                <w:szCs w:val="17"/>
              </w:rPr>
              <w:t xml:space="preserve"> ТР ТС 021/2011. Сорт высший. Корнеплоды гладкие,</w:t>
            </w:r>
            <w:r>
              <w:rPr>
                <w:sz w:val="17"/>
                <w:szCs w:val="17"/>
              </w:rPr>
              <w:t xml:space="preserve"> свежие на вид, правильной формы, не побитые, без трещин, здоровые, сухие с черенками длиной не более 2см, не подмороженные. Без повреждения сельскохозяйственными вредителями.</w:t>
            </w:r>
            <w:r>
              <w:rPr>
                <w:color w:val="000000"/>
                <w:sz w:val="17"/>
                <w:szCs w:val="17"/>
              </w:rPr>
              <w:t xml:space="preserve"> Без излишней влажности.</w:t>
            </w:r>
            <w:r>
              <w:rPr>
                <w:sz w:val="17"/>
                <w:szCs w:val="17"/>
              </w:rPr>
              <w:t xml:space="preserve"> Упаковка - сетчатые мешки не более 20,0 кг.</w:t>
            </w:r>
          </w:p>
        </w:tc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</w:tr>
      <w:tr>
        <w:trPr>
          <w:trHeight w:val="556" w:hRule="atLeast"/>
          <w:cantSplit w:val="true"/>
        </w:trPr>
        <w:tc>
          <w:tcPr>
            <w:tcW w:w="3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9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Свекла</w:t>
            </w:r>
          </w:p>
          <w:p>
            <w:pPr>
              <w:pStyle w:val="Normal"/>
              <w:keepNext w:val="true"/>
              <w:keepLines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5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810</w:t>
            </w:r>
          </w:p>
        </w:tc>
        <w:tc>
          <w:tcPr>
            <w:tcW w:w="5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jc w:val="both"/>
              <w:rPr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соответствие ГОСТ 32285-2013.</w:t>
            </w:r>
            <w:r>
              <w:rPr>
                <w:color w:val="000000"/>
                <w:sz w:val="17"/>
                <w:szCs w:val="17"/>
              </w:rPr>
              <w:t xml:space="preserve"> ТР ТС 021/2011. </w:t>
            </w:r>
            <w:r>
              <w:rPr>
                <w:sz w:val="17"/>
                <w:szCs w:val="17"/>
              </w:rPr>
              <w:t xml:space="preserve"> Свежая, столовая, стандартная, корнеплоды целые, здоровые, сухие с черенками длиной не более 2см. Без повреждения сельскохозяйственными вредителями.</w:t>
            </w:r>
            <w:r>
              <w:rPr>
                <w:color w:val="000000"/>
                <w:sz w:val="17"/>
                <w:szCs w:val="17"/>
              </w:rPr>
              <w:t xml:space="preserve"> Без излишней влажности.</w:t>
            </w:r>
            <w:r>
              <w:rPr>
                <w:sz w:val="17"/>
                <w:szCs w:val="17"/>
              </w:rPr>
              <w:t xml:space="preserve"> Упаковка - сетчатые мешки не более 20,0 кг</w:t>
            </w:r>
          </w:p>
        </w:tc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</w:tr>
      <w:tr>
        <w:trPr>
          <w:trHeight w:val="556" w:hRule="atLeast"/>
          <w:cantSplit w:val="true"/>
        </w:trPr>
        <w:tc>
          <w:tcPr>
            <w:tcW w:w="3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9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keepNext w:val="true"/>
              <w:keepLines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Лук репчатый</w:t>
            </w:r>
          </w:p>
        </w:tc>
        <w:tc>
          <w:tcPr>
            <w:tcW w:w="5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520</w:t>
            </w:r>
          </w:p>
        </w:tc>
        <w:tc>
          <w:tcPr>
            <w:tcW w:w="5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соответствие ГОСТ 34306-2017.</w:t>
            </w:r>
            <w:r>
              <w:rPr>
                <w:color w:val="000000"/>
                <w:sz w:val="17"/>
                <w:szCs w:val="17"/>
              </w:rPr>
              <w:t xml:space="preserve"> ТР ТС 021/2011. Сорт первый. </w:t>
            </w:r>
            <w:r>
              <w:rPr>
                <w:sz w:val="17"/>
                <w:szCs w:val="17"/>
              </w:rPr>
              <w:t xml:space="preserve"> Плоды целые, вызревшие, не проросшие, здоровые, сухие, при шевелении шелестит, без признаков гнили.</w:t>
            </w:r>
            <w:r>
              <w:rPr>
                <w:color w:val="000000"/>
                <w:sz w:val="17"/>
                <w:szCs w:val="17"/>
              </w:rPr>
              <w:t xml:space="preserve"> Без излишней влажности.</w:t>
            </w:r>
            <w:r>
              <w:rPr>
                <w:sz w:val="17"/>
                <w:szCs w:val="17"/>
              </w:rPr>
              <w:t xml:space="preserve"> Размер луковиц по наибольшему поперечному диаметру не менее 4см. Упаковка - сетчатые мешки не более 15,0 кг.</w:t>
            </w:r>
          </w:p>
        </w:tc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</w:tr>
      <w:tr>
        <w:trPr>
          <w:trHeight w:val="556" w:hRule="atLeast"/>
          <w:cantSplit w:val="true"/>
        </w:trPr>
        <w:tc>
          <w:tcPr>
            <w:tcW w:w="3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9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keepNext w:val="true"/>
              <w:keepLines/>
              <w:ind w:right="-10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Чеснок свежий</w:t>
            </w:r>
          </w:p>
        </w:tc>
        <w:tc>
          <w:tcPr>
            <w:tcW w:w="5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5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соответствие ГОСТ 33562-2015. ГОСТ 55909-2013.</w:t>
            </w:r>
            <w:r>
              <w:rPr>
                <w:color w:val="000000"/>
                <w:sz w:val="17"/>
                <w:szCs w:val="17"/>
              </w:rPr>
              <w:t xml:space="preserve"> ТР ТС 021/2011. Сорт высший. </w:t>
            </w:r>
            <w:r>
              <w:rPr>
                <w:sz w:val="17"/>
                <w:szCs w:val="17"/>
              </w:rPr>
              <w:t xml:space="preserve"> Плоды целые, здоровые, сухие, вызревшие, при шевелении шелестит, без признаков гнили.</w:t>
            </w:r>
            <w:r>
              <w:rPr>
                <w:color w:val="000000"/>
                <w:sz w:val="17"/>
                <w:szCs w:val="17"/>
              </w:rPr>
              <w:t xml:space="preserve"> Без излишней влажности.</w:t>
            </w:r>
            <w:r>
              <w:rPr>
                <w:sz w:val="17"/>
                <w:szCs w:val="17"/>
              </w:rPr>
              <w:t xml:space="preserve"> Поставка не более 1,5 кг.</w:t>
            </w:r>
          </w:p>
        </w:tc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</w:tr>
      <w:tr>
        <w:trPr>
          <w:trHeight w:val="556" w:hRule="atLeast"/>
          <w:cantSplit w:val="true"/>
        </w:trPr>
        <w:tc>
          <w:tcPr>
            <w:tcW w:w="3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keepNext w:val="true"/>
              <w:keepLines/>
              <w:ind w:right="-13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9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Томаты тепличные</w:t>
            </w:r>
          </w:p>
        </w:tc>
        <w:tc>
          <w:tcPr>
            <w:tcW w:w="5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auto"/>
              </w:rPr>
            </w:pPr>
            <w:r>
              <w:rPr>
                <w:color w:val="auto"/>
                <w:sz w:val="20"/>
                <w:szCs w:val="20"/>
              </w:rPr>
              <w:t>400</w:t>
            </w:r>
          </w:p>
        </w:tc>
        <w:tc>
          <w:tcPr>
            <w:tcW w:w="5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ind w:right="113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соответствие ГОСТ 34298-2017.</w:t>
            </w:r>
            <w:r>
              <w:rPr>
                <w:color w:val="000000"/>
                <w:sz w:val="17"/>
                <w:szCs w:val="17"/>
              </w:rPr>
              <w:t xml:space="preserve"> ТР ТС 021/2011. Без ГМО. </w:t>
            </w:r>
            <w:r>
              <w:rPr>
                <w:sz w:val="17"/>
                <w:szCs w:val="17"/>
              </w:rPr>
              <w:t xml:space="preserve"> Плоды томатов (круглые, продолговатые) свежие, целые, здоровые, чистые, плотные, типичной для ботанического сорта формы, с плодоножкой или без плодоножки, неповрежденные сельскохозяйственными вредителями, без излишней внешней влажности. Запах и вкус: свойственные данному помологическому сорту без постороннего запаха и привкуса. Упаковка – картонный, деревянный, пластиковый ящик.</w:t>
            </w:r>
          </w:p>
        </w:tc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</w:tr>
      <w:tr>
        <w:trPr>
          <w:trHeight w:val="556" w:hRule="atLeast"/>
          <w:cantSplit w:val="true"/>
        </w:trPr>
        <w:tc>
          <w:tcPr>
            <w:tcW w:w="3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keepNext w:val="true"/>
              <w:keepLines/>
              <w:ind w:right="-13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9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Томаты грунтовые</w:t>
            </w:r>
          </w:p>
          <w:p>
            <w:pPr>
              <w:pStyle w:val="Normal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5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auto"/>
              </w:rPr>
            </w:pPr>
            <w:r>
              <w:rPr>
                <w:color w:val="auto"/>
                <w:sz w:val="20"/>
                <w:szCs w:val="20"/>
              </w:rPr>
              <w:t>55</w:t>
            </w:r>
          </w:p>
        </w:tc>
        <w:tc>
          <w:tcPr>
            <w:tcW w:w="5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ind w:right="113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соответствие ГОСТ 34298-2017.</w:t>
            </w:r>
            <w:r>
              <w:rPr>
                <w:color w:val="000000"/>
                <w:sz w:val="17"/>
                <w:szCs w:val="17"/>
              </w:rPr>
              <w:t xml:space="preserve"> ТР ТС 021/2011. Без ГМО. </w:t>
            </w:r>
            <w:r>
              <w:rPr>
                <w:sz w:val="17"/>
                <w:szCs w:val="17"/>
              </w:rPr>
              <w:t xml:space="preserve">  Плоды томатов (круглые, продолговатые)     свежие, целые, здоровые, чистые, плотные, типичной для ботанического сорта формы, с плодоножкой или без плодоножки, неповрежденные сельскохозяйственными вредителями, без излишней внешней влажности. Запах и вкус: свойственные данному помологическому сорту без постороннего запаха и привкуса. Упаковка – картонный, деревянный, пластиковый ящик.</w:t>
            </w:r>
          </w:p>
        </w:tc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</w:tr>
      <w:tr>
        <w:trPr>
          <w:trHeight w:val="556" w:hRule="atLeast"/>
          <w:cantSplit w:val="true"/>
        </w:trPr>
        <w:tc>
          <w:tcPr>
            <w:tcW w:w="3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keepNext w:val="true"/>
              <w:keepLines/>
              <w:ind w:right="-13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9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Огурцы тепличные</w:t>
            </w:r>
          </w:p>
        </w:tc>
        <w:tc>
          <w:tcPr>
            <w:tcW w:w="5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auto"/>
              </w:rPr>
            </w:pPr>
            <w:r>
              <w:rPr>
                <w:color w:val="auto"/>
                <w:sz w:val="20"/>
                <w:szCs w:val="20"/>
              </w:rPr>
              <w:t>460</w:t>
            </w:r>
          </w:p>
        </w:tc>
        <w:tc>
          <w:tcPr>
            <w:tcW w:w="5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ind w:right="113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соответствие ГОСТ 33932-2016.</w:t>
            </w:r>
            <w:r>
              <w:rPr>
                <w:color w:val="000000"/>
                <w:sz w:val="17"/>
                <w:szCs w:val="17"/>
              </w:rPr>
              <w:t xml:space="preserve"> ТР ТС 021/2011. Без ГМО. </w:t>
            </w:r>
            <w:r>
              <w:rPr>
                <w:sz w:val="17"/>
                <w:szCs w:val="17"/>
              </w:rPr>
              <w:t xml:space="preserve">  Плоды (короткоплодные, среднеплодные) целые, свежие, здоровые, чистые, без механических повреждений, без излишней внешней влажности, с типичной для ботанического сорта формой и окраской. Запах и вкус: свойственные данному помологическому сорту без постороннего запаха и привкуса. Упаковка – картонный, деревянный, пластиковый ящик.</w:t>
            </w:r>
          </w:p>
        </w:tc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</w:tr>
      <w:tr>
        <w:trPr>
          <w:trHeight w:val="556" w:hRule="atLeast"/>
          <w:cantSplit w:val="true"/>
        </w:trPr>
        <w:tc>
          <w:tcPr>
            <w:tcW w:w="3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keepNext w:val="true"/>
              <w:keepLines/>
              <w:ind w:right="-13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9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Огурцы грунтовые</w:t>
            </w:r>
          </w:p>
        </w:tc>
        <w:tc>
          <w:tcPr>
            <w:tcW w:w="5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auto"/>
              </w:rPr>
            </w:pPr>
            <w:r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5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ind w:right="113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соответствие ГОСТ 33932-2016.</w:t>
            </w:r>
            <w:r>
              <w:rPr>
                <w:color w:val="000000"/>
                <w:sz w:val="17"/>
                <w:szCs w:val="17"/>
              </w:rPr>
              <w:t xml:space="preserve"> ТР ТС 021/2011. Без ГМО. </w:t>
            </w:r>
            <w:r>
              <w:rPr>
                <w:sz w:val="17"/>
                <w:szCs w:val="17"/>
              </w:rPr>
              <w:t xml:space="preserve">  Плоды (короткоплодные, среднеплодные)  целые, свежие, здоровые, чистые, без механических повреждений, без излишней внешней влажности, с типичной для ботанического сорта формой и окраской. Запах и вкус: свойственные данному помологическому сорту без постороннего запаха и привкуса. Упаковка – картонный, деревянный, пластиковый ящик.</w:t>
            </w:r>
          </w:p>
        </w:tc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</w:tr>
      <w:tr>
        <w:trPr>
          <w:trHeight w:val="556" w:hRule="atLeast"/>
          <w:cantSplit w:val="true"/>
        </w:trPr>
        <w:tc>
          <w:tcPr>
            <w:tcW w:w="3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keepNext w:val="true"/>
              <w:keepLines/>
              <w:ind w:right="-13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9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Лук свежий зеленый</w:t>
            </w:r>
          </w:p>
        </w:tc>
        <w:tc>
          <w:tcPr>
            <w:tcW w:w="5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</w:t>
            </w:r>
          </w:p>
        </w:tc>
        <w:tc>
          <w:tcPr>
            <w:tcW w:w="5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ind w:right="113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соответствие ГОСТ 34214-2017. ТУ 01.13.90-001-32735559-2019.</w:t>
            </w:r>
            <w:r>
              <w:rPr>
                <w:color w:val="000000"/>
                <w:sz w:val="17"/>
                <w:szCs w:val="17"/>
              </w:rPr>
              <w:t xml:space="preserve"> ТР ТС 021/2011. </w:t>
            </w:r>
            <w:r>
              <w:rPr>
                <w:sz w:val="17"/>
                <w:szCs w:val="17"/>
              </w:rPr>
              <w:t xml:space="preserve"> Луковица и перья зеленого лука целые, здоровые, свежие, чистые, характерной для ботанического сорта формы и окраски, с аккуратно подрезанными корнями у донца, без повреждений болезнями и/или сельскохозяйственными вредителями, без излишней внешней влажности. Запах и вкус характерные для ботанического сорта, без постороннего запаха и/или привкуса.</w:t>
            </w:r>
          </w:p>
        </w:tc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</w:tr>
      <w:tr>
        <w:trPr>
          <w:trHeight w:val="556" w:hRule="atLeast"/>
          <w:cantSplit w:val="true"/>
        </w:trPr>
        <w:tc>
          <w:tcPr>
            <w:tcW w:w="3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keepNext w:val="true"/>
              <w:keepLines/>
              <w:ind w:right="-13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9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Перец сладкий свежий</w:t>
            </w:r>
          </w:p>
        </w:tc>
        <w:tc>
          <w:tcPr>
            <w:tcW w:w="5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125</w:t>
            </w:r>
          </w:p>
        </w:tc>
        <w:tc>
          <w:tcPr>
            <w:tcW w:w="5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ind w:right="113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соответствие ГОСТ 34325-2017. </w:t>
            </w:r>
            <w:r>
              <w:rPr>
                <w:color w:val="000000"/>
                <w:sz w:val="17"/>
                <w:szCs w:val="17"/>
              </w:rPr>
              <w:t>ТР ТС 021/2011. Сорт: высший, первый. Без ГМО.</w:t>
            </w:r>
          </w:p>
          <w:p>
            <w:pPr>
              <w:pStyle w:val="Normal"/>
              <w:ind w:right="113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Плоды здоровые, чистые, без механических повреждений, поверхность гладкая с плотной мякотью без гнили, усыхания, отсутствуют следы микроорганизмов, без нитратов. Без излишней внешней влажности.  Упаковка – картонный, деревянный, пластиковый ящик.</w:t>
            </w:r>
          </w:p>
        </w:tc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</w:tr>
      <w:tr>
        <w:trPr>
          <w:trHeight w:val="556" w:hRule="atLeast"/>
          <w:cantSplit w:val="true"/>
        </w:trPr>
        <w:tc>
          <w:tcPr>
            <w:tcW w:w="3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keepNext w:val="true"/>
              <w:keepLines/>
              <w:ind w:right="-13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9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Перец сладкий свежий сезонный</w:t>
            </w:r>
          </w:p>
        </w:tc>
        <w:tc>
          <w:tcPr>
            <w:tcW w:w="5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5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ind w:right="113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соответствие ГОСТ 34325-2017. </w:t>
            </w:r>
            <w:r>
              <w:rPr>
                <w:color w:val="000000"/>
                <w:sz w:val="17"/>
                <w:szCs w:val="17"/>
              </w:rPr>
              <w:t>ТР ТС 021/2011. Сорт: высший, первый. Без ГМО.</w:t>
            </w:r>
          </w:p>
          <w:p>
            <w:pPr>
              <w:pStyle w:val="Normal"/>
              <w:ind w:right="113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Плоды здоровые, чистые, без механических повреждений, поверхность гладкая с плотной мякотью без гнили, усыхания, отсутствуют следы микроорганизмов, без нитратов. Без излишней внешней влажности.  Упаковка – картонный, деревянный, пластиковый ящик.</w:t>
            </w:r>
          </w:p>
        </w:tc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</w:tr>
      <w:tr>
        <w:trPr>
          <w:trHeight w:val="556" w:hRule="atLeast"/>
          <w:cantSplit w:val="true"/>
        </w:trPr>
        <w:tc>
          <w:tcPr>
            <w:tcW w:w="3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keepNext w:val="true"/>
              <w:keepLines/>
              <w:ind w:right="-13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9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Зелень свежая(укроп)</w:t>
            </w:r>
          </w:p>
        </w:tc>
        <w:tc>
          <w:tcPr>
            <w:tcW w:w="5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5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ind w:right="113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соответствие ГОСТ 32856-2014. </w:t>
            </w:r>
            <w:r>
              <w:rPr>
                <w:color w:val="000000"/>
                <w:sz w:val="17"/>
                <w:szCs w:val="17"/>
              </w:rPr>
              <w:t>ТР ТС 021/2011.</w:t>
            </w:r>
          </w:p>
          <w:p>
            <w:pPr>
              <w:pStyle w:val="Normal"/>
              <w:ind w:right="113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Растения без корешков, молодые, свежие, чистые, без излишней внешней влажности, с зелеными листьями, без цветочных зонтиков, не поврежденные болезнями, без признаков огрубления, подмораживания и самосозревания зонтиками в фазе цветения или начала формирования семян, без корней.</w:t>
            </w:r>
          </w:p>
          <w:p>
            <w:pPr>
              <w:pStyle w:val="Normal"/>
              <w:ind w:right="113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Длина растений укропа от шейки корня до кончиков верхних листьев не более 250 мм.</w:t>
            </w:r>
          </w:p>
        </w:tc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</w:tr>
      <w:tr>
        <w:trPr>
          <w:trHeight w:val="556" w:hRule="atLeast"/>
          <w:cantSplit w:val="true"/>
        </w:trPr>
        <w:tc>
          <w:tcPr>
            <w:tcW w:w="3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keepNext w:val="true"/>
              <w:keepLines/>
              <w:ind w:right="-13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9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Кабачки свежие</w:t>
            </w:r>
          </w:p>
        </w:tc>
        <w:tc>
          <w:tcPr>
            <w:tcW w:w="5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5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ind w:right="113"/>
              <w:jc w:val="both"/>
              <w:rPr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с</w:t>
            </w:r>
            <w:r>
              <w:rPr>
                <w:sz w:val="17"/>
                <w:szCs w:val="17"/>
              </w:rPr>
              <w:t xml:space="preserve">оответствие ГОСТ 31822-2012. </w:t>
            </w:r>
            <w:r>
              <w:rPr>
                <w:color w:val="000000"/>
                <w:sz w:val="17"/>
                <w:szCs w:val="17"/>
              </w:rPr>
              <w:t>ТР ТС 021/2011.</w:t>
            </w:r>
          </w:p>
          <w:p>
            <w:pPr>
              <w:pStyle w:val="Normal"/>
              <w:ind w:right="113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Кабачки цукини. Сорт: высший, первый. Плоды свежие, целые, чистые, здоровые, не увядшие, технически спелые, с не огрубевшей кожицей, гладкие с плодоножкой, не поврежденные болезнями и вредителями.</w:t>
            </w:r>
          </w:p>
          <w:p>
            <w:pPr>
              <w:pStyle w:val="Normal"/>
              <w:ind w:right="113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Размер плодов по длине без плодоножки (между местом соединения плодоножки с плодом и окончанием верхушки плода): от 7 до 26 см. Кабачки должны быть упакованы таким образом, чтобы обеспечивалась их надлежащая сохранность и безопасность. Упаковка – картонный, деревянный, пластиковый ящик.</w:t>
            </w:r>
          </w:p>
        </w:tc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</w:tr>
      <w:tr>
        <w:trPr>
          <w:trHeight w:val="556" w:hRule="atLeast"/>
          <w:cantSplit w:val="true"/>
        </w:trPr>
        <w:tc>
          <w:tcPr>
            <w:tcW w:w="3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keepNext w:val="true"/>
              <w:keepLines/>
              <w:ind w:right="-13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19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Кабачки свежие сезон</w:t>
            </w:r>
          </w:p>
        </w:tc>
        <w:tc>
          <w:tcPr>
            <w:tcW w:w="5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5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ind w:right="113"/>
              <w:jc w:val="both"/>
              <w:rPr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с</w:t>
            </w:r>
            <w:r>
              <w:rPr>
                <w:sz w:val="17"/>
                <w:szCs w:val="17"/>
              </w:rPr>
              <w:t xml:space="preserve">оответствие ГОСТ 31822-2012. </w:t>
            </w:r>
            <w:r>
              <w:rPr>
                <w:color w:val="000000"/>
                <w:sz w:val="17"/>
                <w:szCs w:val="17"/>
              </w:rPr>
              <w:t xml:space="preserve">ТР ТС 021/2011. </w:t>
            </w:r>
            <w:r>
              <w:rPr>
                <w:sz w:val="17"/>
                <w:szCs w:val="17"/>
              </w:rPr>
              <w:t>Кабачки цукини; Сорт: высший, первый.</w:t>
            </w:r>
          </w:p>
          <w:p>
            <w:pPr>
              <w:pStyle w:val="Normal"/>
              <w:ind w:right="113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Плоды свежие, целые, чистые, здоровые, не увядшие, технически спелые, с не огрубевшей кожицей, гладкие с плодоножкой, не поврежденные болезнями и вредителями.</w:t>
            </w:r>
          </w:p>
          <w:p>
            <w:pPr>
              <w:pStyle w:val="Normal"/>
              <w:ind w:right="113"/>
              <w:jc w:val="both"/>
              <w:rPr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Размер плодов по длине без плодоножки (между местом соединения плодоножки с плодом и окончанием верхушки плода): от 7 до 26 см. Кабачки должны быть упакованы таким образом, чтобы обеспечивалась их надлежащая сохранность и безопасность. Упаковка – картонный, деревянный, пластиковый ящик.</w:t>
            </w:r>
          </w:p>
          <w:p>
            <w:pPr>
              <w:pStyle w:val="Normal"/>
              <w:ind w:right="-6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</w:tc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</w:tr>
      <w:tr>
        <w:trPr>
          <w:trHeight w:val="556" w:hRule="atLeast"/>
          <w:cantSplit w:val="true"/>
        </w:trPr>
        <w:tc>
          <w:tcPr>
            <w:tcW w:w="37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keepNext w:val="true"/>
              <w:keepLines/>
              <w:ind w:right="-13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197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57" w:left="57" w:right="-113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Цветная капуста соцветиями быстрозамороженная</w:t>
            </w:r>
          </w:p>
        </w:tc>
        <w:tc>
          <w:tcPr>
            <w:tcW w:w="59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0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</w:t>
            </w:r>
          </w:p>
        </w:tc>
        <w:tc>
          <w:tcPr>
            <w:tcW w:w="568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ind w:right="113"/>
              <w:jc w:val="both"/>
              <w:rPr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соответствие ГОСТ Р 54683-2011. ТР ТС 021/2011. Цветная капуста крупными отдельными соцветиями, подвергшимся в процессе предварительной подготовки термической обработке(бланшированию). Овощи одного помологического сорта , подготовленные соответствующим образом, чистые, здоровые, без повреждений от насекомых и вредителей, без механических повреждений, без примесей растительного происхождения и других посторонних примесей . Цвет однородный. В размороженном состоянии консистенция слегка размягченная, близкая  к консистенции свежих овощей, сохранивших свою форму. Без посторонних привкуса и запаха.</w:t>
            </w:r>
          </w:p>
          <w:p>
            <w:pPr>
              <w:pStyle w:val="Normal"/>
              <w:ind w:right="113"/>
              <w:jc w:val="both"/>
              <w:rPr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Упакованы и расфасованы способом , обеспечивающим их безопасность и сохранение качества. Без ГМО. Температура замороженного продукта не выше -18С.</w:t>
            </w:r>
          </w:p>
          <w:p>
            <w:pPr>
              <w:pStyle w:val="Normal"/>
              <w:ind w:right="113"/>
              <w:jc w:val="both"/>
              <w:rPr>
                <w:color w:val="auto"/>
              </w:rPr>
            </w:pPr>
            <w:r>
              <w:rPr>
                <w:bCs/>
                <w:color w:val="auto"/>
                <w:sz w:val="17"/>
                <w:szCs w:val="17"/>
              </w:rPr>
              <w:t>Единица упаковки не более 1,0кг.</w:t>
            </w:r>
          </w:p>
        </w:tc>
        <w:tc>
          <w:tcPr>
            <w:tcW w:w="109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</w:tr>
      <w:tr>
        <w:trPr>
          <w:trHeight w:val="556" w:hRule="atLeast"/>
          <w:cantSplit w:val="true"/>
        </w:trPr>
        <w:tc>
          <w:tcPr>
            <w:tcW w:w="37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keepNext w:val="true"/>
              <w:keepLines/>
              <w:ind w:right="-13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197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ind w:hanging="57" w:left="57" w:right="-11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Баклажаны свежие</w:t>
            </w:r>
          </w:p>
        </w:tc>
        <w:tc>
          <w:tcPr>
            <w:tcW w:w="59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0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</w:t>
            </w:r>
          </w:p>
        </w:tc>
        <w:tc>
          <w:tcPr>
            <w:tcW w:w="568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ind w:right="113"/>
              <w:jc w:val="both"/>
              <w:rPr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соответствие ГОСТ 31821-2022. ТР ТС 021/2011. Сорт : высший.</w:t>
            </w:r>
          </w:p>
          <w:p>
            <w:pPr>
              <w:pStyle w:val="Normal"/>
              <w:ind w:right="113"/>
              <w:jc w:val="both"/>
              <w:rPr>
                <w:sz w:val="17"/>
                <w:szCs w:val="17"/>
              </w:rPr>
            </w:pPr>
            <w:r>
              <w:rPr>
                <w:bCs/>
                <w:color w:val="000000"/>
                <w:sz w:val="17"/>
                <w:szCs w:val="17"/>
              </w:rPr>
              <w:t>Плоды свежие, целые, здоровые, не увядшие, технически спелые, с плодоножкой ( не более 1-3см), без повреждения сельскохозяйственными вредителями и болезнями, без механических повреждений, без излишней влажности.</w:t>
            </w:r>
          </w:p>
        </w:tc>
        <w:tc>
          <w:tcPr>
            <w:tcW w:w="109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</w:tr>
    </w:tbl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</w:r>
    </w:p>
    <w:p>
      <w:pPr>
        <w:pStyle w:val="Normal"/>
        <w:spacing w:lineRule="auto" w:line="259" w:before="0" w:after="16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spacing w:lineRule="auto" w:line="259" w:before="0" w:after="16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ListParagraph"/>
        <w:ind w:left="284"/>
        <w:jc w:val="both"/>
        <w:rPr>
          <w:rFonts w:ascii="Arial" w:hAnsi="Arial" w:cs="Arial"/>
          <w:color w:val="000000"/>
          <w:sz w:val="26"/>
          <w:szCs w:val="26"/>
          <w:shd w:fill="FFFFFF" w:val="clear"/>
        </w:rPr>
      </w:pPr>
      <w:r>
        <w:rPr>
          <w:rFonts w:cs="Arial" w:ascii="Arial" w:hAnsi="Arial"/>
          <w:color w:val="000000"/>
          <w:sz w:val="26"/>
          <w:szCs w:val="26"/>
          <w:shd w:fill="FFFFFF" w:val="clear"/>
        </w:rPr>
        <w:t>_________                                                          ________     ______________</w:t>
      </w:r>
    </w:p>
    <w:p>
      <w:pPr>
        <w:pStyle w:val="ListParagraph"/>
        <w:tabs>
          <w:tab w:val="clear" w:pos="708"/>
          <w:tab w:val="left" w:pos="6323" w:leader="none"/>
          <w:tab w:val="left" w:pos="8152" w:leader="none"/>
        </w:tabs>
        <w:ind w:left="284"/>
        <w:jc w:val="both"/>
        <w:rPr>
          <w:rFonts w:ascii="Arial" w:hAnsi="Arial" w:cs="Arial"/>
          <w:color w:val="000000"/>
          <w:sz w:val="16"/>
          <w:szCs w:val="16"/>
          <w:shd w:fill="FFFFFF" w:val="clear"/>
        </w:rPr>
      </w:pPr>
      <w:r>
        <w:rPr>
          <w:rFonts w:cs="Arial" w:ascii="Arial" w:hAnsi="Arial"/>
          <w:color w:val="000000"/>
          <w:sz w:val="16"/>
          <w:szCs w:val="16"/>
          <w:shd w:fill="FFFFFF" w:val="clear"/>
        </w:rPr>
        <w:t>должность                                                                                                             подпись</w:t>
        <w:tab/>
        <w:t>ФИО</w:t>
      </w:r>
    </w:p>
    <w:sectPr>
      <w:type w:val="nextPage"/>
      <w:pgSz w:w="11906" w:h="16838"/>
      <w:pgMar w:left="709" w:right="850" w:gutter="0" w:header="0" w:top="426" w:footer="0" w:bottom="56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alibri">
    <w:charset w:val="cc"/>
    <w:family w:val="roman"/>
    <w:pitch w:val="variable"/>
  </w:font>
  <w:font w:name="Courier New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DejaVu Sans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uiPriority="0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c5c98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12"/>
    <w:qFormat/>
    <w:rsid w:val="00f76952"/>
    <w:pPr>
      <w:keepNext w:val="true"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link w:val="2"/>
    <w:qFormat/>
    <w:rsid w:val="00f76952"/>
    <w:pPr>
      <w:keepNext w:val="true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3"/>
    <w:semiHidden/>
    <w:unhideWhenUsed/>
    <w:qFormat/>
    <w:rsid w:val="00f76952"/>
    <w:pPr>
      <w:keepNext w:val="true"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1" w:customStyle="1">
    <w:name w:val="Основной текст Знак"/>
    <w:basedOn w:val="DefaultParagraphFont"/>
    <w:qFormat/>
    <w:rsid w:val="002c5c98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Hyperlink">
    <w:name w:val="Hyperlink"/>
    <w:uiPriority w:val="99"/>
    <w:rsid w:val="002c5c98"/>
    <w:rPr>
      <w:color w:val="0000FF"/>
      <w:u w:val="single"/>
    </w:rPr>
  </w:style>
  <w:style w:type="character" w:styleId="1" w:customStyle="1">
    <w:name w:val="Стиль1 Знак"/>
    <w:link w:val="13"/>
    <w:qFormat/>
    <w:rsid w:val="002c5c98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Style12" w:customStyle="1">
    <w:name w:val="Текст выноски Знак"/>
    <w:basedOn w:val="DefaultParagraphFont"/>
    <w:link w:val="BalloonText"/>
    <w:qFormat/>
    <w:rsid w:val="002c5c98"/>
    <w:rPr>
      <w:rFonts w:ascii="Segoe UI" w:hAnsi="Segoe UI" w:eastAsia="Times New Roman" w:cs="Segoe UI"/>
      <w:sz w:val="18"/>
      <w:szCs w:val="18"/>
      <w:lang w:eastAsia="ru-RU"/>
    </w:rPr>
  </w:style>
  <w:style w:type="character" w:styleId="11" w:customStyle="1">
    <w:name w:val="Неразрешенное упоминание1"/>
    <w:basedOn w:val="DefaultParagraphFont"/>
    <w:uiPriority w:val="99"/>
    <w:semiHidden/>
    <w:unhideWhenUsed/>
    <w:qFormat/>
    <w:rsid w:val="009d7704"/>
    <w:rPr>
      <w:color w:val="605E5C"/>
      <w:shd w:fill="E1DFDD" w:val="clear"/>
    </w:rPr>
  </w:style>
  <w:style w:type="character" w:styleId="12" w:customStyle="1">
    <w:name w:val="Заголовок 1 Знак"/>
    <w:basedOn w:val="DefaultParagraphFont"/>
    <w:qFormat/>
    <w:rsid w:val="00f76952"/>
    <w:rPr>
      <w:rFonts w:ascii="Times New Roman" w:hAnsi="Times New Roman" w:eastAsia="Times New Roman" w:cs="Times New Roman"/>
      <w:sz w:val="32"/>
      <w:szCs w:val="32"/>
      <w:lang w:eastAsia="ru-RU"/>
    </w:rPr>
  </w:style>
  <w:style w:type="character" w:styleId="2" w:customStyle="1">
    <w:name w:val="Заголовок 2 Знак"/>
    <w:basedOn w:val="DefaultParagraphFont"/>
    <w:qFormat/>
    <w:rsid w:val="00f76952"/>
    <w:rPr>
      <w:rFonts w:ascii="Arial" w:hAnsi="Arial" w:eastAsia="Times New Roman" w:cs="Arial"/>
      <w:b/>
      <w:bCs/>
      <w:i/>
      <w:iCs/>
      <w:sz w:val="28"/>
      <w:szCs w:val="28"/>
      <w:lang w:eastAsia="ru-RU"/>
    </w:rPr>
  </w:style>
  <w:style w:type="character" w:styleId="3" w:customStyle="1">
    <w:name w:val="Заголовок 3 Знак"/>
    <w:basedOn w:val="DefaultParagraphFont"/>
    <w:semiHidden/>
    <w:qFormat/>
    <w:rsid w:val="00f76952"/>
    <w:rPr>
      <w:rFonts w:ascii="Cambria" w:hAnsi="Cambria" w:eastAsia="Times New Roman" w:cs="Times New Roman"/>
      <w:b/>
      <w:bCs/>
      <w:sz w:val="26"/>
      <w:szCs w:val="26"/>
      <w:lang w:val="x-none" w:eastAsia="x-none"/>
    </w:rPr>
  </w:style>
  <w:style w:type="character" w:styleId="Style13" w:customStyle="1">
    <w:name w:val="Основной текст с отступом Знак"/>
    <w:basedOn w:val="DefaultParagraphFont"/>
    <w:qFormat/>
    <w:rsid w:val="00f76952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14" w:customStyle="1">
    <w:name w:val="Цветовое выделение"/>
    <w:qFormat/>
    <w:rsid w:val="00f76952"/>
    <w:rPr>
      <w:b/>
      <w:bCs/>
      <w:color w:val="26282F"/>
    </w:rPr>
  </w:style>
  <w:style w:type="character" w:styleId="Style15" w:customStyle="1">
    <w:name w:val="Гипертекстовая ссылка"/>
    <w:qFormat/>
    <w:rsid w:val="00f76952"/>
    <w:rPr>
      <w:b/>
      <w:bCs/>
      <w:color w:val="106BBE"/>
    </w:rPr>
  </w:style>
  <w:style w:type="character" w:styleId="HTMLCite">
    <w:name w:val="HTML Cite"/>
    <w:qFormat/>
    <w:rsid w:val="00f76952"/>
    <w:rPr>
      <w:i/>
      <w:iCs/>
    </w:rPr>
  </w:style>
  <w:style w:type="character" w:styleId="Style16" w:customStyle="1">
    <w:name w:val="Верхний колонтитул Знак"/>
    <w:basedOn w:val="DefaultParagraphFont"/>
    <w:qFormat/>
    <w:rsid w:val="00f76952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7" w:customStyle="1">
    <w:name w:val="Нижний колонтитул Знак"/>
    <w:basedOn w:val="DefaultParagraphFont"/>
    <w:uiPriority w:val="99"/>
    <w:qFormat/>
    <w:rsid w:val="00f76952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Apple-converted-space" w:customStyle="1">
    <w:name w:val="apple-converted-space"/>
    <w:basedOn w:val="DefaultParagraphFont"/>
    <w:qFormat/>
    <w:rsid w:val="00f76952"/>
    <w:rPr/>
  </w:style>
  <w:style w:type="character" w:styleId="FontStyle12" w:customStyle="1">
    <w:name w:val="Font Style12"/>
    <w:uiPriority w:val="99"/>
    <w:qFormat/>
    <w:rsid w:val="00f76952"/>
    <w:rPr>
      <w:rFonts w:ascii="Times New Roman" w:hAnsi="Times New Roman" w:cs="Times New Roman"/>
      <w:sz w:val="22"/>
      <w:szCs w:val="22"/>
    </w:rPr>
  </w:style>
  <w:style w:type="character" w:styleId="Strong">
    <w:name w:val="Strong"/>
    <w:uiPriority w:val="22"/>
    <w:qFormat/>
    <w:rsid w:val="00f76952"/>
    <w:rPr>
      <w:b/>
      <w:bCs/>
    </w:rPr>
  </w:style>
  <w:style w:type="character" w:styleId="Exact" w:customStyle="1">
    <w:name w:val="Основной текст Exact"/>
    <w:qFormat/>
    <w:rsid w:val="00f76952"/>
    <w:rPr>
      <w:rFonts w:ascii="Times New Roman" w:hAnsi="Times New Roman" w:cs="Times New Roman"/>
      <w:strike w:val="false"/>
      <w:dstrike w:val="false"/>
      <w:sz w:val="18"/>
      <w:szCs w:val="18"/>
      <w:u w:val="none"/>
      <w:effect w:val="none"/>
    </w:rPr>
  </w:style>
  <w:style w:type="character" w:styleId="21" w:customStyle="1">
    <w:name w:val="Основной текст (2)_"/>
    <w:link w:val="212"/>
    <w:qFormat/>
    <w:locked/>
    <w:rsid w:val="00f76952"/>
    <w:rPr>
      <w:b/>
      <w:bCs/>
      <w:shd w:fill="FFFFFF" w:val="clear"/>
    </w:rPr>
  </w:style>
  <w:style w:type="character" w:styleId="S10" w:customStyle="1">
    <w:name w:val="s_10"/>
    <w:qFormat/>
    <w:rsid w:val="00f76952"/>
    <w:rPr/>
  </w:style>
  <w:style w:type="character" w:styleId="UnresolvedMention">
    <w:name w:val="Unresolved Mention"/>
    <w:basedOn w:val="DefaultParagraphFont"/>
    <w:uiPriority w:val="99"/>
    <w:semiHidden/>
    <w:unhideWhenUsed/>
    <w:qFormat/>
    <w:rsid w:val="00f76952"/>
    <w:rPr>
      <w:color w:val="605E5C"/>
      <w:shd w:fill="E1DFDD" w:val="clear"/>
    </w:rPr>
  </w:style>
  <w:style w:type="character" w:styleId="22">
    <w:name w:val="Неразрешенное упоминание2"/>
    <w:basedOn w:val="DefaultParagraphFont"/>
    <w:qFormat/>
    <w:rPr>
      <w:color w:val="605E5C"/>
      <w:shd w:fill="E1DFDD" w:val="clear"/>
    </w:rPr>
  </w:style>
  <w:style w:type="character" w:styleId="Style18">
    <w:name w:val="Основной шрифт абзаца"/>
    <w:qFormat/>
    <w:rPr/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Style11"/>
    <w:rsid w:val="002c5c98"/>
    <w:pPr>
      <w:jc w:val="both"/>
    </w:pPr>
    <w:rPr>
      <w:sz w:val="28"/>
      <w:szCs w:val="20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Lucida Sans"/>
    </w:rPr>
  </w:style>
  <w:style w:type="paragraph" w:styleId="13" w:customStyle="1">
    <w:name w:val="Стиль1"/>
    <w:basedOn w:val="BodyText"/>
    <w:link w:val="1"/>
    <w:qFormat/>
    <w:rsid w:val="002c5c98"/>
    <w:pPr>
      <w:jc w:val="center"/>
    </w:pPr>
    <w:rPr>
      <w:b/>
    </w:rPr>
  </w:style>
  <w:style w:type="paragraph" w:styleId="BalloonText">
    <w:name w:val="Balloon Text"/>
    <w:basedOn w:val="Normal"/>
    <w:link w:val="Style12"/>
    <w:unhideWhenUsed/>
    <w:qFormat/>
    <w:rsid w:val="002c5c98"/>
    <w:pPr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74333"/>
    <w:pPr>
      <w:spacing w:before="0" w:after="0"/>
      <w:ind w:left="720"/>
      <w:contextualSpacing/>
    </w:pPr>
    <w:rPr/>
  </w:style>
  <w:style w:type="paragraph" w:styleId="NoSpacing">
    <w:name w:val="No Spacing"/>
    <w:basedOn w:val="Normal"/>
    <w:uiPriority w:val="1"/>
    <w:qFormat/>
    <w:rsid w:val="00cd1205"/>
    <w:pPr>
      <w:ind w:left="2160"/>
    </w:pPr>
    <w:rPr>
      <w:rFonts w:ascii="Calibri" w:hAnsi="Calibri" w:eastAsia="Calibri"/>
      <w:color w:val="5A5A5A"/>
      <w:sz w:val="20"/>
      <w:szCs w:val="20"/>
      <w:lang w:eastAsia="en-US"/>
    </w:rPr>
  </w:style>
  <w:style w:type="paragraph" w:styleId="BodyTextIndent">
    <w:name w:val="Body Text Indent"/>
    <w:basedOn w:val="Normal"/>
    <w:link w:val="Style13"/>
    <w:rsid w:val="00f76952"/>
    <w:pPr>
      <w:jc w:val="both"/>
    </w:pPr>
    <w:rPr>
      <w:sz w:val="28"/>
      <w:szCs w:val="28"/>
    </w:rPr>
  </w:style>
  <w:style w:type="paragraph" w:styleId="Style131" w:customStyle="1">
    <w:name w:val="Style13"/>
    <w:basedOn w:val="Normal"/>
    <w:qFormat/>
    <w:rsid w:val="00f76952"/>
    <w:pPr>
      <w:widowControl w:val="false"/>
      <w:spacing w:lineRule="exact" w:line="175"/>
      <w:jc w:val="both"/>
    </w:pPr>
    <w:rPr>
      <w:rFonts w:eastAsia="Calibri"/>
    </w:rPr>
  </w:style>
  <w:style w:type="paragraph" w:styleId="211" w:customStyle="1">
    <w:name w:val="Основной текст 21"/>
    <w:basedOn w:val="Normal"/>
    <w:qFormat/>
    <w:rsid w:val="00f76952"/>
    <w:pPr>
      <w:ind w:firstLine="851"/>
      <w:jc w:val="both"/>
    </w:pPr>
    <w:rPr>
      <w:szCs w:val="20"/>
    </w:rPr>
  </w:style>
  <w:style w:type="paragraph" w:styleId="Style21">
    <w:name w:val="Колонтитул"/>
    <w:basedOn w:val="Normal"/>
    <w:qFormat/>
    <w:pPr/>
    <w:rPr/>
  </w:style>
  <w:style w:type="paragraph" w:styleId="Header">
    <w:name w:val="Header"/>
    <w:basedOn w:val="Normal"/>
    <w:link w:val="Style16"/>
    <w:rsid w:val="00f76952"/>
    <w:pPr>
      <w:tabs>
        <w:tab w:val="clear" w:pos="708"/>
        <w:tab w:val="center" w:pos="4677" w:leader="none"/>
        <w:tab w:val="right" w:pos="9355" w:leader="none"/>
      </w:tabs>
    </w:pPr>
    <w:rPr>
      <w:sz w:val="20"/>
      <w:szCs w:val="20"/>
    </w:rPr>
  </w:style>
  <w:style w:type="paragraph" w:styleId="Footer">
    <w:name w:val="Footer"/>
    <w:basedOn w:val="Normal"/>
    <w:link w:val="Style17"/>
    <w:uiPriority w:val="99"/>
    <w:rsid w:val="00f76952"/>
    <w:pPr>
      <w:tabs>
        <w:tab w:val="clear" w:pos="708"/>
        <w:tab w:val="center" w:pos="4677" w:leader="none"/>
        <w:tab w:val="right" w:pos="9355" w:leader="none"/>
      </w:tabs>
    </w:pPr>
    <w:rPr>
      <w:sz w:val="20"/>
      <w:szCs w:val="20"/>
    </w:rPr>
  </w:style>
  <w:style w:type="paragraph" w:styleId="ConsNonformat" w:customStyle="1">
    <w:name w:val="ConsNonformat"/>
    <w:qFormat/>
    <w:rsid w:val="00f76952"/>
    <w:pPr>
      <w:widowControl/>
      <w:suppressAutoHyphens w:val="true"/>
      <w:bidi w:val="0"/>
      <w:spacing w:lineRule="auto" w:line="240" w:before="0" w:after="0"/>
      <w:ind w:right="19772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zh-CN" w:bidi="ar-SA"/>
    </w:rPr>
  </w:style>
  <w:style w:type="paragraph" w:styleId="212" w:customStyle="1">
    <w:name w:val="Основной текст (2)1"/>
    <w:basedOn w:val="Normal"/>
    <w:link w:val="21"/>
    <w:qFormat/>
    <w:rsid w:val="00f76952"/>
    <w:pPr>
      <w:widowControl w:val="false"/>
      <w:shd w:val="clear" w:color="auto" w:fill="FFFFFF"/>
      <w:spacing w:lineRule="atLeast" w:line="240" w:before="0" w:after="240"/>
      <w:jc w:val="both"/>
    </w:pPr>
    <w:rPr>
      <w:rFonts w:ascii="Arial" w:hAnsi="Arial" w:eastAsia="Arial" w:cs="DejaVu Sans" w:asciiTheme="minorHAnsi" w:cstheme="minorBidi" w:eastAsiaTheme="minorHAnsi" w:hAnsiTheme="minorHAnsi"/>
      <w:b/>
      <w:bCs/>
      <w:sz w:val="22"/>
      <w:szCs w:val="22"/>
      <w:shd w:fill="FFFFFF" w:val="clear"/>
      <w:lang w:eastAsia="en-US"/>
    </w:rPr>
  </w:style>
  <w:style w:type="paragraph" w:styleId="S1" w:customStyle="1">
    <w:name w:val="s_1"/>
    <w:basedOn w:val="Normal"/>
    <w:qFormat/>
    <w:rsid w:val="00f76952"/>
    <w:pPr>
      <w:spacing w:beforeAutospacing="1" w:afterAutospacing="1"/>
    </w:pPr>
    <w:rPr/>
  </w:style>
  <w:style w:type="paragraph" w:styleId="TableParagraph" w:customStyle="1">
    <w:name w:val="Table Paragraph"/>
    <w:basedOn w:val="Normal"/>
    <w:uiPriority w:val="1"/>
    <w:qFormat/>
    <w:rsid w:val="00f76952"/>
    <w:pPr>
      <w:widowControl w:val="false"/>
    </w:pPr>
    <w:rPr>
      <w:sz w:val="22"/>
      <w:szCs w:val="22"/>
      <w:lang w:eastAsia="en-US"/>
    </w:rPr>
  </w:style>
  <w:style w:type="paragraph" w:styleId="Style22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39"/>
    <w:rsid w:val="000c493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internat_75@bk.ru%20&#1048;&#1053;&#1053;/&#1050;&#1055;&#1055;%207206062170/720601001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Application>LibreOffice/24.2.1.2$Windows_X86_64 LibreOffice_project/db4def46b0453cc22e2d0305797cf981b68ef5ac</Application>
  <AppVersion>15.0000</AppVersion>
  <Pages>3</Pages>
  <Words>1332</Words>
  <Characters>9152</Characters>
  <CharactersWithSpaces>10554</CharactersWithSpaces>
  <Paragraphs>135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2021-05-07T06:37:00Z</dcterms:created>
  <dc:creator>Пользователь</dc:creator>
  <dc:description/>
  <dc:language>ru-RU</dc:language>
  <cp:lastModifiedBy/>
  <cp:lastPrinted>2024-10-23T15:37:56Z</cp:lastPrinted>
  <dcterms:modified xsi:type="dcterms:W3CDTF">2026-10-14T16:53:04Z</dcterms:modified>
  <cp:revision>84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