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tbl>
      <w:tblPr>
        <w:tblW w:w="1019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1" w:firstColumn="0" w:lastColumn="0" w:noHBand="0" w:val="0040"/>
      </w:tblPr>
      <w:tblGrid>
        <w:gridCol w:w="10196"/>
      </w:tblGrid>
      <w:tr>
        <w:trPr>
          <w:trHeight w:val="320" w:hRule="atLeast"/>
        </w:trPr>
        <w:tc>
          <w:tcPr>
            <w:tcW w:w="10196" w:type="dxa"/>
            <w:tcBorders/>
            <w:vAlign w:val="bottom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/>
              <w:drawing>
                <wp:inline distT="0" distB="0" distL="0" distR="0">
                  <wp:extent cx="704850" cy="533400"/>
                  <wp:effectExtent l="0" t="0" r="0" b="0"/>
                  <wp:docPr id="1" name="Рисунок 1" descr="1_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1_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93" w:hRule="atLeast"/>
        </w:trPr>
        <w:tc>
          <w:tcPr>
            <w:tcW w:w="10196" w:type="dxa"/>
            <w:tcBorders/>
            <w:vAlign w:val="bottom"/>
          </w:tcPr>
          <w:p>
            <w:pPr>
              <w:pStyle w:val="BodyTex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ДЕПАРТАМЕНТ СОЦИАЛЬНОГО РАЗВИТИЯ</w:t>
            </w:r>
          </w:p>
          <w:p>
            <w:pPr>
              <w:pStyle w:val="BodyTex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ТЮМЕНСКОЙ ОБЛАСТИ</w:t>
            </w:r>
          </w:p>
          <w:p>
            <w:pPr>
              <w:pStyle w:val="NoSpacing"/>
              <w:ind w:left="0"/>
              <w:jc w:val="center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  <w:t>Департамент социального развития Тюменской области</w:t>
            </w:r>
          </w:p>
          <w:p>
            <w:pPr>
              <w:pStyle w:val="NoSpacing"/>
              <w:ind w:left="0"/>
              <w:jc w:val="center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  <w:t>Автономное учреждение Тюменской области</w:t>
            </w:r>
          </w:p>
          <w:p>
            <w:pPr>
              <w:pStyle w:val="NoSpacing"/>
              <w:ind w:left="0"/>
              <w:jc w:val="center"/>
              <w:rPr>
                <w:rFonts w:ascii="Times New Roman" w:hAnsi="Times New Roman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30"/>
                <w:szCs w:val="30"/>
              </w:rPr>
              <w:t>«Центр помощи детям, оставшимся без</w:t>
            </w:r>
          </w:p>
          <w:p>
            <w:pPr>
              <w:pStyle w:val="NoSpacing"/>
              <w:ind w:left="0"/>
              <w:jc w:val="center"/>
              <w:rPr>
                <w:rFonts w:ascii="Times New Roman" w:hAnsi="Times New Roman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30"/>
                <w:szCs w:val="30"/>
              </w:rPr>
              <w:t>попечения родителей «Дом детства»»</w:t>
            </w:r>
          </w:p>
          <w:p>
            <w:pPr>
              <w:pStyle w:val="NoSpacing"/>
              <w:ind w:left="0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30"/>
                <w:szCs w:val="30"/>
              </w:rPr>
              <w:t>(АУ ТО «Дом детства»)</w:t>
            </w:r>
          </w:p>
          <w:p>
            <w:pPr>
              <w:pStyle w:val="NoSpacing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ул.Семена Ремезова, д. 70, стр.1, г. Тобольск, Тюменская область, 626150, тел 8 (3456)25-91-02</w:t>
            </w:r>
          </w:p>
          <w:p>
            <w:pPr>
              <w:pStyle w:val="Normal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 xml:space="preserve">E-mail: </w:t>
            </w:r>
            <w:hyperlink r:id="rId3">
              <w:r>
                <w:rPr>
                  <w:rStyle w:val="Hyperlink"/>
                  <w:lang w:val="en-US"/>
                </w:rPr>
                <w:t xml:space="preserve"> dom_detstva@obl72.ru </w:t>
              </w:r>
              <w:r>
                <w:rPr>
                  <w:rStyle w:val="Hyperlink"/>
                </w:rPr>
                <w:t>ИНН</w:t>
              </w:r>
              <w:r>
                <w:rPr>
                  <w:rStyle w:val="Hyperlink"/>
                  <w:lang w:val="en-US"/>
                </w:rPr>
                <w:t>/</w:t>
              </w:r>
              <w:r>
                <w:rPr>
                  <w:rStyle w:val="Hyperlink"/>
                </w:rPr>
                <w:t>КПП</w:t>
              </w:r>
              <w:r>
                <w:rPr>
                  <w:rStyle w:val="Hyperlink"/>
                  <w:lang w:val="en-US"/>
                </w:rPr>
                <w:t xml:space="preserve"> 7206062170/720601001</w:t>
              </w:r>
            </w:hyperlink>
          </w:p>
          <w:p>
            <w:pPr>
              <w:pStyle w:val="Normal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</w:r>
          </w:p>
        </w:tc>
      </w:tr>
    </w:tbl>
    <w:p>
      <w:pPr>
        <w:pStyle w:val="Normal"/>
        <w:rPr>
          <w:rFonts w:ascii="Arial" w:hAnsi="Arial" w:cs="Arial"/>
          <w:lang w:val="en-US"/>
        </w:rPr>
      </w:pPr>
      <w:r>
        <w:rPr>
          <w:rFonts w:cs="Arial" w:ascii="Arial" w:hAnsi="Arial"/>
          <w:lang w:val="en-US"/>
        </w:rPr>
      </w:r>
    </w:p>
    <w:p>
      <w:pPr>
        <w:pStyle w:val="Normal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Исх. 15.10.2026</w:t>
      </w:r>
    </w:p>
    <w:p>
      <w:pPr>
        <w:pStyle w:val="Normal"/>
        <w:jc w:val="center"/>
        <w:rPr>
          <w:rFonts w:ascii="Arial" w:hAnsi="Arial" w:cs="Arial"/>
          <w:b/>
          <w:bCs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b/>
          <w:bCs/>
          <w:color w:val="000000"/>
          <w:sz w:val="20"/>
          <w:szCs w:val="20"/>
          <w:shd w:fill="FFFFFF" w:val="clear"/>
        </w:rPr>
      </w:r>
    </w:p>
    <w:p>
      <w:pPr>
        <w:pStyle w:val="Normal"/>
        <w:jc w:val="center"/>
        <w:rPr>
          <w:rFonts w:ascii="Arial" w:hAnsi="Arial" w:cs="Arial"/>
          <w:b/>
          <w:bCs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b/>
          <w:bCs/>
          <w:color w:val="000000"/>
          <w:sz w:val="20"/>
          <w:szCs w:val="20"/>
          <w:shd w:fill="FFFFFF" w:val="clear"/>
        </w:rPr>
        <w:t>Запрос коммерческого предложения</w:t>
      </w:r>
    </w:p>
    <w:p>
      <w:pPr>
        <w:pStyle w:val="Normal"/>
        <w:jc w:val="center"/>
        <w:rPr>
          <w:rFonts w:ascii="Arial" w:hAnsi="Arial" w:cs="Arial"/>
          <w:color w:val="000000"/>
          <w:sz w:val="26"/>
          <w:szCs w:val="26"/>
          <w:shd w:fill="FFFFFF" w:val="clear"/>
        </w:rPr>
      </w:pPr>
      <w:r>
        <w:rPr>
          <w:rFonts w:cs="Arial" w:ascii="Arial" w:hAnsi="Arial"/>
          <w:color w:val="000000"/>
          <w:sz w:val="26"/>
          <w:szCs w:val="26"/>
          <w:shd w:fill="FFFFFF" w:val="clear"/>
        </w:rPr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 xml:space="preserve">В целях обоснования начальной (максимальной) цены договора на поставку продуктов питания, прошу направить информацию (коммерческое предложение) согласно таблице в срок до 22.10.2026 на эл.почту </w:t>
      </w:r>
      <w:r>
        <w:rPr>
          <w:rStyle w:val="Hyperlink"/>
          <w:rFonts w:cs="Arial" w:ascii="Arial" w:hAnsi="Arial"/>
          <w:sz w:val="20"/>
          <w:szCs w:val="20"/>
          <w:shd w:fill="FFFFFF" w:val="clear"/>
        </w:rPr>
        <w:t xml:space="preserve">sevryukovatyu@obl72.ru 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КАЧЕСТВО, МАРКИРОВКА ТОВАРА: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1. Качество товара должно соответствовать ГОСТам, ТУ, СТО, ТШ, ТР, ТС на данный вид товара строго заявленные Покупателем в спецификации и подтверждаться имеющимися сертификатами качества, декларациями и протоколами испытаний, подтверждающие достоверность инф</w:t>
      </w:r>
      <w:bookmarkStart w:id="0" w:name="_GoBack"/>
      <w:bookmarkEnd w:id="0"/>
      <w:r>
        <w:rPr>
          <w:rFonts w:cs="Arial" w:ascii="Arial" w:hAnsi="Arial"/>
          <w:color w:val="000000"/>
          <w:sz w:val="20"/>
          <w:szCs w:val="20"/>
          <w:shd w:fill="FFFFFF" w:val="clear"/>
        </w:rPr>
        <w:t xml:space="preserve">ормации: «без ГМО», «не содержит ГМО» выданными заводом производителем. 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 xml:space="preserve">2. Копии сертификатов, заверенных надлежащим образом, подлежат передаче одновременно с передачей Товара. 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3. Качество товара должно соответствовать виду (классу), установленному в Техническом задании. Товар по показателям безопасности и пищевой ценности должен соответствовать единым санитарно-эпидемиологическим и гигиеническим требованиям к продукции (товару), подлежащей санитарно-эпидемиологическому надзору(контролю) (утверждены Решением Комиссии Таможенного союза от 28.05.2010 №299 «О применении санитарных мер в Евразийском экономическом союзе), Техническому регламенту Таможенного союза ТР ТС 021/2011 «О безопасности пищевой продукции» (утвержден Решением Комиссии Таможенного союза от 09.12.2011 № 880).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4. Товар должен иметь маркировку и содержать информацию в соответствии с требованиями действующего законодательства Российской Федерации и спецификации.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СРОКИ И УСЛОВИЯ ПОСТАВКИ ТОВАРА: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1. Поставка Товара осуществляется с 01.01.2027 до 31.12.2027 по заявкам Покупателя 3 (три) раза в неделю (понедельник, среда, пятница) до 12.00 часов.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2. Место поставки товара: Тюменская область, г.Тобольск, улица Семена Ремезова, 70, строение 1.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3. Товар должен быть упакован в тару и упаковку, обеспечивающую сохранность Товара при перевозке и проведении погрузочно-разгрузочных работ.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 xml:space="preserve">4. При поставке тара и упаковка не должны иметь признаков повреждения, ржавчины, вмятин и нарушения целостности. 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5. Поставка продуктов, требующих соблюдение температурного режима осуществляется автотранспортом с фургоном рефрижератором.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6. Поставщик должен быть зарегистрированным в государственной информационной системе Меркурий (далее- ГИС Меркурий) и добросовестно фиксировать оборот (производство, перемещение, передача Покупателю) подконтрольных товаров;</w:t>
      </w:r>
    </w:p>
    <w:p>
      <w:pPr>
        <w:pStyle w:val="Normal"/>
        <w:spacing w:lineRule="auto" w:line="259" w:before="0" w:after="16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Style w:val="Style18"/>
          <w:rFonts w:cs="Arial" w:ascii="Arial" w:hAnsi="Arial"/>
          <w:color w:val="000000"/>
          <w:sz w:val="20"/>
          <w:szCs w:val="20"/>
          <w:shd w:fill="FFFFFF" w:val="clear"/>
        </w:rPr>
        <w:t>Сбор данной информации не влечет за собой возникновение каких-либо обязательств Заказчика.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/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/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</w:r>
    </w:p>
    <w:p>
      <w:pPr>
        <w:pStyle w:val="Normal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</w:r>
    </w:p>
    <w:tbl>
      <w:tblPr>
        <w:tblpPr w:vertAnchor="text" w:horzAnchor="text" w:leftFromText="180" w:rightFromText="180" w:tblpX="-25" w:tblpY="1"/>
        <w:tblOverlap w:val="never"/>
        <w:tblW w:w="10910" w:type="dxa"/>
        <w:jc w:val="left"/>
        <w:tblInd w:w="68" w:type="dxa"/>
        <w:tblLayout w:type="fixed"/>
        <w:tblCellMar>
          <w:top w:w="0" w:type="dxa"/>
          <w:left w:w="6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386"/>
        <w:gridCol w:w="1728"/>
        <w:gridCol w:w="5879"/>
        <w:gridCol w:w="966"/>
        <w:gridCol w:w="1021"/>
        <w:gridCol w:w="929"/>
      </w:tblGrid>
      <w:tr>
        <w:trPr>
          <w:trHeight w:val="1448" w:hRule="exact"/>
          <w:cantSplit w:val="true"/>
        </w:trPr>
        <w:tc>
          <w:tcPr>
            <w:tcW w:w="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1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keepNext w:val="true"/>
              <w:keepLines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товара</w:t>
            </w:r>
          </w:p>
          <w:p>
            <w:pPr>
              <w:pStyle w:val="Normal"/>
              <w:keepNext w:val="true"/>
              <w:keepLines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5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keepNext w:val="true"/>
              <w:keepLines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Качественные характеристики товара</w:t>
            </w:r>
          </w:p>
        </w:tc>
        <w:tc>
          <w:tcPr>
            <w:tcW w:w="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keepNext w:val="true"/>
              <w:keepLines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Ед.</w:t>
            </w:r>
          </w:p>
          <w:p>
            <w:pPr>
              <w:pStyle w:val="Normal"/>
              <w:keepNext w:val="true"/>
              <w:keepLines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измерения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keepNext w:val="true"/>
              <w:keepLines/>
              <w:ind w:right="-109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Количество (объем)</w:t>
            </w:r>
          </w:p>
        </w:tc>
        <w:tc>
          <w:tcPr>
            <w:tcW w:w="9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keepNext w:val="true"/>
              <w:keepLines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Цена за ед., руб.</w:t>
            </w:r>
          </w:p>
        </w:tc>
      </w:tr>
      <w:tr>
        <w:trPr>
          <w:trHeight w:val="556" w:hRule="atLeast"/>
          <w:cantSplit w:val="true"/>
        </w:trPr>
        <w:tc>
          <w:tcPr>
            <w:tcW w:w="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rPr/>
            </w:pPr>
            <w:r>
              <w:rPr>
                <w:sz w:val="24"/>
                <w:szCs w:val="24"/>
              </w:rPr>
              <w:t>Куриная тушка</w:t>
            </w:r>
          </w:p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замороженная</w:t>
            </w:r>
          </w:p>
        </w:tc>
        <w:tc>
          <w:tcPr>
            <w:tcW w:w="5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keepNext w:val="true"/>
              <w:keepLines/>
              <w:widowControl w:val="false"/>
              <w:ind w:right="113"/>
              <w:jc w:val="both"/>
              <w:rPr/>
            </w:pPr>
            <w:r>
              <w:rPr>
                <w:sz w:val="18"/>
                <w:szCs w:val="18"/>
              </w:rPr>
              <w:t>Соответствие ГОСТ 31962-2013, ГОСТ Р 52306-2005. ТР ТС 021/2011. ТУ/СТО производителя, соответствующего характеристикам:</w:t>
            </w:r>
          </w:p>
          <w:p>
            <w:pPr>
              <w:pStyle w:val="Normal"/>
              <w:keepNext w:val="true"/>
              <w:keepLines/>
              <w:widowControl w:val="false"/>
              <w:ind w:right="113"/>
              <w:jc w:val="both"/>
              <w:rPr/>
            </w:pPr>
            <w:r>
              <w:rPr>
                <w:sz w:val="18"/>
                <w:szCs w:val="18"/>
              </w:rPr>
              <w:t>Наименование мяса птицы: Цыплята-бройлеры. Глубокозамороженные. Температура в толще мышц не выше минус 18С.</w:t>
            </w:r>
          </w:p>
          <w:p>
            <w:pPr>
              <w:pStyle w:val="Normal"/>
              <w:keepNext w:val="true"/>
              <w:keepLines/>
              <w:widowControl w:val="false"/>
              <w:ind w:right="113"/>
              <w:jc w:val="both"/>
              <w:rPr/>
            </w:pPr>
            <w:r>
              <w:rPr>
                <w:sz w:val="18"/>
                <w:szCs w:val="18"/>
              </w:rPr>
              <w:t>Вид мяса по способу разделки: целая тушка. Сорт: первый. Масса тушки свыше 0,95кг.  Массовая доля белка не менее 18%; Массовая доля жира не более 20 %;</w:t>
            </w:r>
          </w:p>
          <w:p>
            <w:pPr>
              <w:pStyle w:val="Normal"/>
              <w:keepNext w:val="true"/>
              <w:keepLines/>
              <w:widowControl w:val="false"/>
              <w:ind w:right="113"/>
              <w:jc w:val="both"/>
              <w:rPr/>
            </w:pPr>
            <w:r>
              <w:rPr>
                <w:sz w:val="18"/>
                <w:szCs w:val="18"/>
              </w:rPr>
              <w:t>Массовая доля влаги, выделившейся при размораживании мяса птицы не более 4%. Хорошо обескровлены. Запах свойственный свежему мясу данного вида птицы. Цвет мышечной ткани от бледно розового до розового. Цвет кожи бледно-желтый с розовым оттенком или без него. Кожа чистая, без разрывов, царапин, пятен, ссадин и кровоподтеков. Не допускается наличие пеньков, волосовидного пера.</w:t>
            </w:r>
          </w:p>
          <w:p>
            <w:pPr>
              <w:pStyle w:val="Normal"/>
              <w:keepNext w:val="true"/>
              <w:keepLines/>
              <w:widowControl w:val="false"/>
              <w:ind w:right="113"/>
              <w:jc w:val="both"/>
              <w:rPr/>
            </w:pPr>
            <w:r>
              <w:rPr>
                <w:b w:val="false"/>
                <w:bCs w:val="false"/>
                <w:color w:val="auto"/>
                <w:sz w:val="18"/>
                <w:szCs w:val="18"/>
              </w:rPr>
              <w:t>Цвет подкожного или внутреннего жира бледно-желтый или желтый. Костная система без переломов и деформаций. Киль грудной кости окостеневший. В индивидуальной упаковке. Остаточный срок годности не менее 80% на момент поставки товара.</w:t>
            </w:r>
          </w:p>
        </w:tc>
        <w:tc>
          <w:tcPr>
            <w:tcW w:w="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/>
            </w:pPr>
            <w:r>
              <w:rPr>
                <w:color w:val="000000"/>
              </w:rPr>
              <w:t>кг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/>
            </w:pPr>
            <w:r>
              <w:rPr>
                <w:color w:val="000000"/>
              </w:rPr>
              <w:t>480</w:t>
            </w:r>
          </w:p>
        </w:tc>
        <w:tc>
          <w:tcPr>
            <w:tcW w:w="9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556" w:hRule="atLeast"/>
          <w:cantSplit w:val="true"/>
        </w:trPr>
        <w:tc>
          <w:tcPr>
            <w:tcW w:w="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2"/>
                <w:szCs w:val="22"/>
              </w:rPr>
              <w:t>Куриная грудка</w:t>
            </w:r>
          </w:p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2"/>
                <w:szCs w:val="22"/>
              </w:rPr>
              <w:t>замороженная</w:t>
            </w:r>
          </w:p>
          <w:p>
            <w:pPr>
              <w:pStyle w:val="Normal"/>
              <w:widowControl w:val="fals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5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keepNext w:val="true"/>
              <w:keepLines/>
              <w:widowControl w:val="false"/>
              <w:ind w:right="113"/>
              <w:jc w:val="both"/>
              <w:rPr/>
            </w:pPr>
            <w:r>
              <w:rPr>
                <w:sz w:val="18"/>
                <w:szCs w:val="18"/>
              </w:rPr>
              <w:t>Соответствие ГОСТ 31962-2013, ГОСТ Р 52306-2005. ТР ТС 021/2011. ТУ/ СТО производителя, соответствующего характеристикам:</w:t>
            </w:r>
          </w:p>
          <w:p>
            <w:pPr>
              <w:pStyle w:val="Normal"/>
              <w:keepNext w:val="true"/>
              <w:keepLines/>
              <w:widowControl w:val="false"/>
              <w:ind w:right="113"/>
              <w:jc w:val="both"/>
              <w:rPr/>
            </w:pPr>
            <w:r>
              <w:rPr>
                <w:b w:val="false"/>
                <w:bCs w:val="false"/>
                <w:color w:val="auto"/>
                <w:sz w:val="18"/>
                <w:szCs w:val="18"/>
              </w:rPr>
              <w:t>Наименование мяса птицы: Цыплята-бройлеры. Сорт первый. Температура в толще мышц не выше минус 18С.  Вид мяса по способу разделки: Грудка. Массовая доля белка не менее 21 %; Массовая доля жира не более 5 %; Массовая доля влаги, выделившейся при размораживании мяса птицы для детского питания не более 4%. Часть тушки, состоящая из целой грудной кости с прилегающими к ней мякотными тканями с кожей. Запах свойственный свежему мясу данного вида птицы. Цвет мышечной ткани от бледно розового до розового. Цвет кожи бледно-желтый с розовым оттенком или без него. Кожа чистая, без разрывов, царапин, пятен, ссадин и кровоподтеков. Не допускается наличие пеньков, волосовидного пера. Цвет подкожного или внутреннего жира бледно-желтый или желтый. В индивидуальной упаковке. Остаточный срок годности не менее 80% на момент поставки товара.</w:t>
            </w:r>
          </w:p>
        </w:tc>
        <w:tc>
          <w:tcPr>
            <w:tcW w:w="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</w:rPr>
            </w:pPr>
            <w:r>
              <w:rPr>
                <w:color w:val="000000"/>
              </w:rPr>
              <w:t>кг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</w:rPr>
            </w:pPr>
            <w:r>
              <w:rPr>
                <w:color w:val="000000"/>
              </w:rPr>
              <w:t>420</w:t>
            </w:r>
          </w:p>
        </w:tc>
        <w:tc>
          <w:tcPr>
            <w:tcW w:w="9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556" w:hRule="atLeast"/>
          <w:cantSplit w:val="true"/>
        </w:trPr>
        <w:tc>
          <w:tcPr>
            <w:tcW w:w="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rPr/>
            </w:pPr>
            <w:r>
              <w:rPr>
                <w:color w:val="000000"/>
                <w:sz w:val="22"/>
                <w:szCs w:val="22"/>
              </w:rPr>
              <w:t>Бедро куриное</w:t>
            </w:r>
          </w:p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2"/>
                <w:szCs w:val="22"/>
              </w:rPr>
              <w:t>замороженное</w:t>
            </w:r>
          </w:p>
        </w:tc>
        <w:tc>
          <w:tcPr>
            <w:tcW w:w="5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ind w:right="113"/>
              <w:jc w:val="both"/>
              <w:rPr/>
            </w:pPr>
            <w:r>
              <w:rPr>
                <w:sz w:val="18"/>
                <w:szCs w:val="18"/>
              </w:rPr>
              <w:t>Соответствие ГОСТ 31962-2013, ГОСТ Р 52306-2005. ТР ТС 021/2011. ТУ/СТО производителя соответствующего характеристикам:</w:t>
            </w:r>
          </w:p>
          <w:p>
            <w:pPr>
              <w:pStyle w:val="Normal"/>
              <w:keepNext w:val="true"/>
              <w:keepLines/>
              <w:widowControl w:val="false"/>
              <w:ind w:right="113"/>
              <w:jc w:val="both"/>
              <w:rPr/>
            </w:pPr>
            <w:r>
              <w:rPr>
                <w:b w:val="false"/>
                <w:bCs w:val="false"/>
                <w:color w:val="auto"/>
                <w:sz w:val="18"/>
                <w:szCs w:val="18"/>
              </w:rPr>
              <w:t>Наименование мяса птицы: Цыплята-бройлеры. Сорт первый. Температура в толще мышц не выше минус 18С. Вид мяса по способу разделки: Бедро. Массовая доля белка не менее 18 %; Массовая доля жира не более 8 %; Массовая доля влаги, выделившейся при размораживании мяса птицы для детского питания не более 4%. Часть тушки, состоящая из целой грудной кости с прилегающими к ней мякотными тканями с кожей. Запах свойственный свежему мясу данного вида птицы. Цвет мышечной ткани от бледно розового до розового. Цвет кожи бледно-желтый с розовым оттенком или без него. Кожа чистая, без разрывов, царапин, пятен, ссадин и кровоподтеков. Не допускается наличие пеньков, волосовидного пера. Цвет подкожного или внутреннего жира бледно-желтый или желтый. В индивидуальной упаковке.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Остаточный срок годности </w:t>
            </w:r>
            <w:r>
              <w:rPr>
                <w:b w:val="false"/>
                <w:bCs w:val="false"/>
                <w:color w:val="auto"/>
                <w:sz w:val="18"/>
                <w:szCs w:val="18"/>
              </w:rPr>
              <w:t>не менее 80% на момент поставки товара.</w:t>
            </w:r>
          </w:p>
        </w:tc>
        <w:tc>
          <w:tcPr>
            <w:tcW w:w="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</w:rPr>
            </w:pPr>
            <w:r>
              <w:rPr>
                <w:color w:val="000000"/>
              </w:rPr>
              <w:t>кг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9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556" w:hRule="atLeast"/>
          <w:cantSplit w:val="true"/>
        </w:trPr>
        <w:tc>
          <w:tcPr>
            <w:tcW w:w="38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72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Яйца куриные в скорлупе свежие</w:t>
            </w:r>
          </w:p>
        </w:tc>
        <w:tc>
          <w:tcPr>
            <w:tcW w:w="587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keepNext w:val="true"/>
              <w:keepLines/>
              <w:widowControl w:val="false"/>
              <w:ind w:right="113"/>
              <w:jc w:val="both"/>
              <w:rPr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Соответствие ГОСТ 31654-2012. ТР ТС 021/2011. Категория яйца: Первая. Класс яйца: Столовое. </w:t>
            </w:r>
            <w:r>
              <w:rPr>
                <w:b w:val="false"/>
                <w:bCs w:val="false"/>
                <w:sz w:val="18"/>
                <w:szCs w:val="18"/>
              </w:rPr>
              <w:t>Количество в коробке не более 360 шт.</w:t>
            </w:r>
          </w:p>
          <w:p>
            <w:pPr>
              <w:pStyle w:val="Normal"/>
              <w:keepNext w:val="true"/>
              <w:keepLines/>
              <w:widowControl w:val="false"/>
              <w:ind w:right="113"/>
              <w:jc w:val="both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Скорлупа яиц должна быть чистой, без пятен крови и помета, и неповрежденной. Маркировка нанесена на каждую единицу упаковочной тары с полной информацией о продукте. Остаточный срок годности </w:t>
            </w:r>
            <w:r>
              <w:rPr>
                <w:b w:val="false"/>
                <w:bCs w:val="false"/>
                <w:color w:val="auto"/>
                <w:sz w:val="18"/>
                <w:szCs w:val="18"/>
              </w:rPr>
              <w:t>не менее 80% на момент поставки товара.</w:t>
            </w:r>
          </w:p>
        </w:tc>
        <w:tc>
          <w:tcPr>
            <w:tcW w:w="96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</w:p>
        </w:tc>
        <w:tc>
          <w:tcPr>
            <w:tcW w:w="102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</w:rPr>
            </w:pPr>
            <w:r>
              <w:rPr>
                <w:color w:val="000000"/>
              </w:rPr>
              <w:t>13320</w:t>
            </w:r>
          </w:p>
        </w:tc>
        <w:tc>
          <w:tcPr>
            <w:tcW w:w="92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</w:tbl>
    <w:p>
      <w:pPr>
        <w:pStyle w:val="Normal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ListParagraph"/>
        <w:ind w:left="284"/>
        <w:jc w:val="both"/>
        <w:rPr>
          <w:rFonts w:ascii="Arial" w:hAnsi="Arial" w:cs="Arial"/>
          <w:color w:val="000000"/>
          <w:sz w:val="26"/>
          <w:szCs w:val="26"/>
          <w:shd w:fill="FFFFFF" w:val="clear"/>
        </w:rPr>
      </w:pPr>
      <w:r>
        <w:rPr>
          <w:rFonts w:cs="Arial" w:ascii="Arial" w:hAnsi="Arial"/>
          <w:color w:val="000000"/>
          <w:sz w:val="26"/>
          <w:szCs w:val="26"/>
          <w:shd w:fill="FFFFFF" w:val="clear"/>
        </w:rPr>
        <w:t>_________                                                          ________     ______________</w:t>
      </w:r>
    </w:p>
    <w:p>
      <w:pPr>
        <w:pStyle w:val="ListParagraph"/>
        <w:tabs>
          <w:tab w:val="clear" w:pos="708"/>
          <w:tab w:val="left" w:pos="6323" w:leader="none"/>
          <w:tab w:val="left" w:pos="8152" w:leader="none"/>
        </w:tabs>
        <w:ind w:left="284"/>
        <w:jc w:val="both"/>
        <w:rPr>
          <w:rFonts w:ascii="Arial" w:hAnsi="Arial" w:cs="Arial"/>
          <w:color w:val="000000"/>
          <w:sz w:val="16"/>
          <w:szCs w:val="16"/>
          <w:shd w:fill="FFFFFF" w:val="clear"/>
        </w:rPr>
      </w:pPr>
      <w:r>
        <w:rPr>
          <w:rFonts w:cs="Arial" w:ascii="Arial" w:hAnsi="Arial"/>
          <w:color w:val="000000"/>
          <w:sz w:val="16"/>
          <w:szCs w:val="16"/>
          <w:shd w:fill="FFFFFF" w:val="clear"/>
        </w:rPr>
        <w:t>должность                                                                                                             подпись</w:t>
        <w:tab/>
        <w:t>ФИО</w:t>
      </w:r>
    </w:p>
    <w:sectPr>
      <w:type w:val="nextPage"/>
      <w:pgSz w:w="11906" w:h="16838"/>
      <w:pgMar w:left="709" w:right="850" w:gutter="0" w:header="0" w:top="426" w:footer="0" w:bottom="56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alibri">
    <w:charset w:val="cc"/>
    <w:family w:val="roman"/>
    <w:pitch w:val="variable"/>
  </w:font>
  <w:font w:name="Courier New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DejaVu Sans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uiPriority="0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2c5c98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12"/>
    <w:qFormat/>
    <w:rsid w:val="00f76952"/>
    <w:pPr>
      <w:keepNext w:val="true"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2"/>
    <w:qFormat/>
    <w:rsid w:val="00f76952"/>
    <w:pPr>
      <w:keepNext w:val="true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3"/>
    <w:semiHidden/>
    <w:unhideWhenUsed/>
    <w:qFormat/>
    <w:rsid w:val="00f76952"/>
    <w:pPr>
      <w:keepNext w:val="true"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1" w:customStyle="1">
    <w:name w:val="Основной текст Знак"/>
    <w:basedOn w:val="DefaultParagraphFont"/>
    <w:qFormat/>
    <w:rsid w:val="002c5c98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Hyperlink">
    <w:name w:val="Hyperlink"/>
    <w:uiPriority w:val="99"/>
    <w:rsid w:val="002c5c98"/>
    <w:rPr>
      <w:color w:val="0000FF"/>
      <w:u w:val="single"/>
    </w:rPr>
  </w:style>
  <w:style w:type="character" w:styleId="1" w:customStyle="1">
    <w:name w:val="Стиль1 Знак"/>
    <w:link w:val="13"/>
    <w:qFormat/>
    <w:rsid w:val="002c5c98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Style12" w:customStyle="1">
    <w:name w:val="Текст выноски Знак"/>
    <w:basedOn w:val="DefaultParagraphFont"/>
    <w:link w:val="BalloonText"/>
    <w:qFormat/>
    <w:rsid w:val="002c5c98"/>
    <w:rPr>
      <w:rFonts w:ascii="Segoe UI" w:hAnsi="Segoe UI" w:eastAsia="Times New Roman" w:cs="Segoe UI"/>
      <w:sz w:val="18"/>
      <w:szCs w:val="18"/>
      <w:lang w:eastAsia="ru-RU"/>
    </w:rPr>
  </w:style>
  <w:style w:type="character" w:styleId="11" w:customStyle="1">
    <w:name w:val="Неразрешенное упоминание1"/>
    <w:basedOn w:val="DefaultParagraphFont"/>
    <w:uiPriority w:val="99"/>
    <w:semiHidden/>
    <w:unhideWhenUsed/>
    <w:qFormat/>
    <w:rsid w:val="009d7704"/>
    <w:rPr>
      <w:color w:val="605E5C"/>
      <w:shd w:fill="E1DFDD" w:val="clear"/>
    </w:rPr>
  </w:style>
  <w:style w:type="character" w:styleId="12" w:customStyle="1">
    <w:name w:val="Заголовок 1 Знак"/>
    <w:basedOn w:val="DefaultParagraphFont"/>
    <w:qFormat/>
    <w:rsid w:val="00f76952"/>
    <w:rPr>
      <w:rFonts w:ascii="Times New Roman" w:hAnsi="Times New Roman" w:eastAsia="Times New Roman" w:cs="Times New Roman"/>
      <w:sz w:val="32"/>
      <w:szCs w:val="32"/>
      <w:lang w:eastAsia="ru-RU"/>
    </w:rPr>
  </w:style>
  <w:style w:type="character" w:styleId="2" w:customStyle="1">
    <w:name w:val="Заголовок 2 Знак"/>
    <w:basedOn w:val="DefaultParagraphFont"/>
    <w:qFormat/>
    <w:rsid w:val="00f76952"/>
    <w:rPr>
      <w:rFonts w:ascii="Arial" w:hAnsi="Arial" w:eastAsia="Times New Roman" w:cs="Arial"/>
      <w:b/>
      <w:bCs/>
      <w:i/>
      <w:iCs/>
      <w:sz w:val="28"/>
      <w:szCs w:val="28"/>
      <w:lang w:eastAsia="ru-RU"/>
    </w:rPr>
  </w:style>
  <w:style w:type="character" w:styleId="3" w:customStyle="1">
    <w:name w:val="Заголовок 3 Знак"/>
    <w:basedOn w:val="DefaultParagraphFont"/>
    <w:semiHidden/>
    <w:qFormat/>
    <w:rsid w:val="00f76952"/>
    <w:rPr>
      <w:rFonts w:ascii="Cambria" w:hAnsi="Cambria" w:eastAsia="Times New Roman" w:cs="Times New Roman"/>
      <w:b/>
      <w:bCs/>
      <w:sz w:val="26"/>
      <w:szCs w:val="26"/>
      <w:lang w:val="x-none" w:eastAsia="x-none"/>
    </w:rPr>
  </w:style>
  <w:style w:type="character" w:styleId="Style13" w:customStyle="1">
    <w:name w:val="Основной текст с отступом Знак"/>
    <w:basedOn w:val="DefaultParagraphFont"/>
    <w:qFormat/>
    <w:rsid w:val="00f76952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14" w:customStyle="1">
    <w:name w:val="Цветовое выделение"/>
    <w:qFormat/>
    <w:rsid w:val="00f76952"/>
    <w:rPr>
      <w:b/>
      <w:bCs/>
      <w:color w:val="26282F"/>
    </w:rPr>
  </w:style>
  <w:style w:type="character" w:styleId="Style15" w:customStyle="1">
    <w:name w:val="Гипертекстовая ссылка"/>
    <w:qFormat/>
    <w:rsid w:val="00f76952"/>
    <w:rPr>
      <w:b/>
      <w:bCs/>
      <w:color w:val="106BBE"/>
    </w:rPr>
  </w:style>
  <w:style w:type="character" w:styleId="HTMLCite">
    <w:name w:val="HTML Cite"/>
    <w:qFormat/>
    <w:rsid w:val="00f76952"/>
    <w:rPr>
      <w:i/>
      <w:iCs/>
    </w:rPr>
  </w:style>
  <w:style w:type="character" w:styleId="Style16" w:customStyle="1">
    <w:name w:val="Верхний колонтитул Знак"/>
    <w:basedOn w:val="DefaultParagraphFont"/>
    <w:qFormat/>
    <w:rsid w:val="00f76952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7" w:customStyle="1">
    <w:name w:val="Нижний колонтитул Знак"/>
    <w:basedOn w:val="DefaultParagraphFont"/>
    <w:uiPriority w:val="99"/>
    <w:qFormat/>
    <w:rsid w:val="00f76952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Apple-converted-space" w:customStyle="1">
    <w:name w:val="apple-converted-space"/>
    <w:basedOn w:val="DefaultParagraphFont"/>
    <w:qFormat/>
    <w:rsid w:val="00f76952"/>
    <w:rPr/>
  </w:style>
  <w:style w:type="character" w:styleId="FontStyle12" w:customStyle="1">
    <w:name w:val="Font Style12"/>
    <w:uiPriority w:val="99"/>
    <w:qFormat/>
    <w:rsid w:val="00f76952"/>
    <w:rPr>
      <w:rFonts w:ascii="Times New Roman" w:hAnsi="Times New Roman" w:cs="Times New Roman"/>
      <w:sz w:val="22"/>
      <w:szCs w:val="22"/>
    </w:rPr>
  </w:style>
  <w:style w:type="character" w:styleId="Strong">
    <w:name w:val="Strong"/>
    <w:uiPriority w:val="22"/>
    <w:qFormat/>
    <w:rsid w:val="00f76952"/>
    <w:rPr>
      <w:b/>
      <w:bCs/>
    </w:rPr>
  </w:style>
  <w:style w:type="character" w:styleId="Exact" w:customStyle="1">
    <w:name w:val="Основной текст Exact"/>
    <w:qFormat/>
    <w:rsid w:val="00f76952"/>
    <w:rPr>
      <w:rFonts w:ascii="Times New Roman" w:hAnsi="Times New Roman" w:cs="Times New Roman"/>
      <w:strike w:val="false"/>
      <w:dstrike w:val="false"/>
      <w:sz w:val="18"/>
      <w:szCs w:val="18"/>
      <w:u w:val="none"/>
      <w:effect w:val="none"/>
    </w:rPr>
  </w:style>
  <w:style w:type="character" w:styleId="21" w:customStyle="1">
    <w:name w:val="Основной текст (2)_"/>
    <w:link w:val="212"/>
    <w:qFormat/>
    <w:locked/>
    <w:rsid w:val="00f76952"/>
    <w:rPr>
      <w:b/>
      <w:bCs/>
      <w:shd w:fill="FFFFFF" w:val="clear"/>
    </w:rPr>
  </w:style>
  <w:style w:type="character" w:styleId="S10" w:customStyle="1">
    <w:name w:val="s_10"/>
    <w:qFormat/>
    <w:rsid w:val="00f76952"/>
    <w:rPr/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f76952"/>
    <w:rPr>
      <w:color w:val="605E5C"/>
      <w:shd w:fill="E1DFDD" w:val="clear"/>
    </w:rPr>
  </w:style>
  <w:style w:type="character" w:styleId="Style18">
    <w:name w:val="Основной шрифт абзаца"/>
    <w:qFormat/>
    <w:rPr/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Style11"/>
    <w:rsid w:val="002c5c98"/>
    <w:pPr>
      <w:jc w:val="both"/>
    </w:pPr>
    <w:rPr>
      <w:sz w:val="28"/>
      <w:szCs w:val="20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Lucida Sans"/>
    </w:rPr>
  </w:style>
  <w:style w:type="paragraph" w:styleId="13" w:customStyle="1">
    <w:name w:val="Стиль1"/>
    <w:basedOn w:val="BodyText"/>
    <w:link w:val="1"/>
    <w:qFormat/>
    <w:rsid w:val="002c5c98"/>
    <w:pPr>
      <w:jc w:val="center"/>
    </w:pPr>
    <w:rPr>
      <w:b/>
    </w:rPr>
  </w:style>
  <w:style w:type="paragraph" w:styleId="BalloonText">
    <w:name w:val="Balloon Text"/>
    <w:basedOn w:val="Normal"/>
    <w:link w:val="Style12"/>
    <w:unhideWhenUsed/>
    <w:qFormat/>
    <w:rsid w:val="002c5c98"/>
    <w:pPr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74333"/>
    <w:pPr>
      <w:spacing w:before="0" w:after="0"/>
      <w:ind w:left="720"/>
      <w:contextualSpacing/>
    </w:pPr>
    <w:rPr/>
  </w:style>
  <w:style w:type="paragraph" w:styleId="NoSpacing">
    <w:name w:val="No Spacing"/>
    <w:basedOn w:val="Normal"/>
    <w:uiPriority w:val="1"/>
    <w:qFormat/>
    <w:rsid w:val="00cd1205"/>
    <w:pPr>
      <w:ind w:left="2160"/>
    </w:pPr>
    <w:rPr>
      <w:rFonts w:ascii="Calibri" w:hAnsi="Calibri" w:eastAsia="Calibri"/>
      <w:color w:val="5A5A5A"/>
      <w:sz w:val="20"/>
      <w:szCs w:val="20"/>
      <w:lang w:eastAsia="en-US"/>
    </w:rPr>
  </w:style>
  <w:style w:type="paragraph" w:styleId="BodyTextIndent">
    <w:name w:val="Body Text Indent"/>
    <w:basedOn w:val="Normal"/>
    <w:link w:val="Style13"/>
    <w:rsid w:val="00f76952"/>
    <w:pPr>
      <w:jc w:val="both"/>
    </w:pPr>
    <w:rPr>
      <w:sz w:val="28"/>
      <w:szCs w:val="28"/>
    </w:rPr>
  </w:style>
  <w:style w:type="paragraph" w:styleId="Style131" w:customStyle="1">
    <w:name w:val="Style13"/>
    <w:basedOn w:val="Normal"/>
    <w:qFormat/>
    <w:rsid w:val="00f76952"/>
    <w:pPr>
      <w:widowControl w:val="false"/>
      <w:spacing w:lineRule="exact" w:line="175"/>
      <w:jc w:val="both"/>
    </w:pPr>
    <w:rPr>
      <w:rFonts w:eastAsia="Calibri"/>
    </w:rPr>
  </w:style>
  <w:style w:type="paragraph" w:styleId="211" w:customStyle="1">
    <w:name w:val="Основной текст 21"/>
    <w:basedOn w:val="Normal"/>
    <w:qFormat/>
    <w:rsid w:val="00f76952"/>
    <w:pPr>
      <w:ind w:firstLine="851"/>
      <w:jc w:val="both"/>
    </w:pPr>
    <w:rPr>
      <w:szCs w:val="20"/>
    </w:rPr>
  </w:style>
  <w:style w:type="paragraph" w:styleId="Style21">
    <w:name w:val="Колонтитул"/>
    <w:basedOn w:val="Normal"/>
    <w:qFormat/>
    <w:pPr/>
    <w:rPr/>
  </w:style>
  <w:style w:type="paragraph" w:styleId="Header">
    <w:name w:val="Header"/>
    <w:basedOn w:val="Normal"/>
    <w:link w:val="Style16"/>
    <w:rsid w:val="00f76952"/>
    <w:pPr>
      <w:tabs>
        <w:tab w:val="clear" w:pos="708"/>
        <w:tab w:val="center" w:pos="4677" w:leader="none"/>
        <w:tab w:val="right" w:pos="9355" w:leader="none"/>
      </w:tabs>
    </w:pPr>
    <w:rPr>
      <w:sz w:val="20"/>
      <w:szCs w:val="20"/>
    </w:rPr>
  </w:style>
  <w:style w:type="paragraph" w:styleId="Footer">
    <w:name w:val="Footer"/>
    <w:basedOn w:val="Normal"/>
    <w:link w:val="Style17"/>
    <w:uiPriority w:val="99"/>
    <w:rsid w:val="00f76952"/>
    <w:pPr>
      <w:tabs>
        <w:tab w:val="clear" w:pos="708"/>
        <w:tab w:val="center" w:pos="4677" w:leader="none"/>
        <w:tab w:val="right" w:pos="9355" w:leader="none"/>
      </w:tabs>
    </w:pPr>
    <w:rPr>
      <w:sz w:val="20"/>
      <w:szCs w:val="20"/>
    </w:rPr>
  </w:style>
  <w:style w:type="paragraph" w:styleId="ConsNonformat" w:customStyle="1">
    <w:name w:val="ConsNonformat"/>
    <w:qFormat/>
    <w:rsid w:val="00f76952"/>
    <w:pPr>
      <w:widowControl/>
      <w:suppressAutoHyphens w:val="true"/>
      <w:bidi w:val="0"/>
      <w:spacing w:lineRule="auto" w:line="240" w:before="0" w:after="0"/>
      <w:ind w:right="19772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zh-CN" w:bidi="ar-SA"/>
    </w:rPr>
  </w:style>
  <w:style w:type="paragraph" w:styleId="212" w:customStyle="1">
    <w:name w:val="Основной текст (2)1"/>
    <w:basedOn w:val="Normal"/>
    <w:link w:val="21"/>
    <w:qFormat/>
    <w:rsid w:val="00f76952"/>
    <w:pPr>
      <w:widowControl w:val="false"/>
      <w:shd w:val="clear" w:color="auto" w:fill="FFFFFF"/>
      <w:spacing w:lineRule="atLeast" w:line="240" w:before="0" w:after="240"/>
      <w:jc w:val="both"/>
    </w:pPr>
    <w:rPr>
      <w:rFonts w:ascii="Arial" w:hAnsi="Arial" w:eastAsia="Arial" w:cs="DejaVu Sans" w:asciiTheme="minorHAnsi" w:cstheme="minorBidi" w:eastAsiaTheme="minorHAnsi" w:hAnsiTheme="minorHAnsi"/>
      <w:b/>
      <w:bCs/>
      <w:sz w:val="22"/>
      <w:szCs w:val="22"/>
      <w:shd w:fill="FFFFFF" w:val="clear"/>
      <w:lang w:eastAsia="en-US"/>
    </w:rPr>
  </w:style>
  <w:style w:type="paragraph" w:styleId="S1" w:customStyle="1">
    <w:name w:val="s_1"/>
    <w:basedOn w:val="Normal"/>
    <w:qFormat/>
    <w:rsid w:val="00f76952"/>
    <w:pPr>
      <w:spacing w:beforeAutospacing="1" w:afterAutospacing="1"/>
    </w:pPr>
    <w:rPr/>
  </w:style>
  <w:style w:type="paragraph" w:styleId="TableParagraph" w:customStyle="1">
    <w:name w:val="Table Paragraph"/>
    <w:basedOn w:val="Normal"/>
    <w:uiPriority w:val="1"/>
    <w:qFormat/>
    <w:rsid w:val="00f76952"/>
    <w:pPr>
      <w:widowControl w:val="false"/>
    </w:pPr>
    <w:rPr>
      <w:sz w:val="22"/>
      <w:szCs w:val="22"/>
      <w:lang w:eastAsia="en-US"/>
    </w:rPr>
  </w:style>
  <w:style w:type="paragraph" w:styleId="Style22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39"/>
    <w:rsid w:val="000c493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internat_75@bk.ru%20&#1048;&#1053;&#1053;/&#1050;&#1055;&#1055;%207206062170/720601001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Application>LibreOffice/24.2.1.2$Windows_X86_64 LibreOffice_project/db4def46b0453cc22e2d0305797cf981b68ef5ac</Application>
  <AppVersion>15.0000</AppVersion>
  <Pages>2</Pages>
  <Words>840</Words>
  <Characters>5583</Characters>
  <CharactersWithSpaces>6536</CharactersWithSpaces>
  <Paragraphs>64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2021-05-07T06:37:00Z</dcterms:created>
  <dc:creator>Пользователь</dc:creator>
  <dc:description/>
  <dc:language>ru-RU</dc:language>
  <cp:lastModifiedBy/>
  <cp:lastPrinted>2021-09-02T08:03:00Z</cp:lastPrinted>
  <dcterms:modified xsi:type="dcterms:W3CDTF">2026-10-15T13:28:55Z</dcterms:modified>
  <cp:revision>72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