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tbl>
      <w:tblPr>
        <w:tblW w:w="10196" w:type="dxa"/>
        <w:jc w:val="center"/>
        <w:tblInd w:w="0" w:type="dxa"/>
        <w:tblLayout w:type="fixed"/>
        <w:tblCellMar>
          <w:top w:w="0" w:type="dxa"/>
          <w:left w:w="108" w:type="dxa"/>
          <w:bottom w:w="0" w:type="dxa"/>
          <w:right w:w="108" w:type="dxa"/>
        </w:tblCellMar>
        <w:tblLook w:firstRow="0" w:noVBand="0" w:lastRow="1" w:firstColumn="0" w:lastColumn="0" w:noHBand="0" w:val="0040"/>
      </w:tblPr>
      <w:tblGrid>
        <w:gridCol w:w="10196"/>
      </w:tblGrid>
      <w:tr>
        <w:trPr>
          <w:trHeight w:val="320" w:hRule="atLeast"/>
        </w:trPr>
        <w:tc>
          <w:tcPr>
            <w:tcW w:w="10196" w:type="dxa"/>
            <w:tcBorders/>
            <w:vAlign w:val="bottom"/>
          </w:tcPr>
          <w:p>
            <w:pPr>
              <w:pStyle w:val="Normal"/>
              <w:jc w:val="center"/>
              <w:rPr>
                <w:rFonts w:ascii="Arial" w:hAnsi="Arial" w:cs="Arial"/>
              </w:rPr>
            </w:pPr>
            <w:r>
              <w:rPr/>
              <w:drawing>
                <wp:inline distT="0" distB="0" distL="0" distR="0">
                  <wp:extent cx="704850" cy="533400"/>
                  <wp:effectExtent l="0" t="0" r="0" b="0"/>
                  <wp:docPr id="1" name="Рисунок 1" descr="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1_0"/>
                          <pic:cNvPicPr>
                            <a:picLocks noChangeAspect="1" noChangeArrowheads="1"/>
                          </pic:cNvPicPr>
                        </pic:nvPicPr>
                        <pic:blipFill>
                          <a:blip r:embed="rId2"/>
                          <a:stretch>
                            <a:fillRect/>
                          </a:stretch>
                        </pic:blipFill>
                        <pic:spPr bwMode="auto">
                          <a:xfrm>
                            <a:off x="0" y="0"/>
                            <a:ext cx="704850" cy="533400"/>
                          </a:xfrm>
                          <a:prstGeom prst="rect">
                            <a:avLst/>
                          </a:prstGeom>
                        </pic:spPr>
                      </pic:pic>
                    </a:graphicData>
                  </a:graphic>
                </wp:inline>
              </w:drawing>
            </w:r>
          </w:p>
        </w:tc>
      </w:tr>
      <w:tr>
        <w:trPr>
          <w:trHeight w:val="1093" w:hRule="atLeast"/>
        </w:trPr>
        <w:tc>
          <w:tcPr>
            <w:tcW w:w="10196" w:type="dxa"/>
            <w:tcBorders/>
            <w:vAlign w:val="bottom"/>
          </w:tcPr>
          <w:p>
            <w:pPr>
              <w:pStyle w:val="BodyText"/>
              <w:jc w:val="center"/>
              <w:rPr>
                <w:b/>
                <w:bCs/>
              </w:rPr>
            </w:pPr>
            <w:r>
              <w:rPr>
                <w:b/>
                <w:bCs/>
              </w:rPr>
              <w:t>ДЕПАРТАМЕНТ СОЦИАЛЬНОГО РАЗВИТИЯ</w:t>
            </w:r>
          </w:p>
          <w:p>
            <w:pPr>
              <w:pStyle w:val="BodyText"/>
              <w:jc w:val="center"/>
              <w:rPr>
                <w:b/>
                <w:bCs/>
              </w:rPr>
            </w:pPr>
            <w:r>
              <w:rPr>
                <w:b/>
                <w:bCs/>
              </w:rPr>
              <w:t>ТЮМЕНСКОЙ ОБЛАСТИ</w:t>
            </w:r>
          </w:p>
          <w:p>
            <w:pPr>
              <w:pStyle w:val="NoSpacing"/>
              <w:ind w:left="0"/>
              <w:jc w:val="center"/>
              <w:rPr>
                <w:rFonts w:ascii="Times New Roman" w:hAnsi="Times New Roman"/>
                <w:color w:val="auto"/>
                <w:sz w:val="26"/>
                <w:szCs w:val="26"/>
              </w:rPr>
            </w:pPr>
            <w:r>
              <w:rPr>
                <w:rFonts w:ascii="Times New Roman" w:hAnsi="Times New Roman"/>
                <w:color w:val="auto"/>
                <w:sz w:val="26"/>
                <w:szCs w:val="26"/>
              </w:rPr>
              <w:t>Департамент социального развития Тюменской области</w:t>
            </w:r>
          </w:p>
          <w:p>
            <w:pPr>
              <w:pStyle w:val="NoSpacing"/>
              <w:ind w:left="0"/>
              <w:jc w:val="center"/>
              <w:rPr>
                <w:rFonts w:ascii="Times New Roman" w:hAnsi="Times New Roman"/>
                <w:color w:val="auto"/>
                <w:sz w:val="26"/>
                <w:szCs w:val="26"/>
              </w:rPr>
            </w:pPr>
            <w:r>
              <w:rPr>
                <w:rFonts w:ascii="Times New Roman" w:hAnsi="Times New Roman"/>
                <w:color w:val="auto"/>
                <w:sz w:val="26"/>
                <w:szCs w:val="26"/>
              </w:rPr>
              <w:t>Автономное учреждение Тюменской области</w:t>
            </w:r>
          </w:p>
          <w:p>
            <w:pPr>
              <w:pStyle w:val="NoSpacing"/>
              <w:ind w:left="0"/>
              <w:jc w:val="center"/>
              <w:rPr>
                <w:rFonts w:ascii="Times New Roman" w:hAnsi="Times New Roman"/>
                <w:b/>
                <w:bCs/>
                <w:color w:val="000000"/>
                <w:sz w:val="30"/>
                <w:szCs w:val="30"/>
              </w:rPr>
            </w:pPr>
            <w:r>
              <w:rPr>
                <w:rFonts w:ascii="Times New Roman" w:hAnsi="Times New Roman"/>
                <w:b/>
                <w:bCs/>
                <w:color w:val="000000"/>
                <w:sz w:val="30"/>
                <w:szCs w:val="30"/>
              </w:rPr>
              <w:t>«Центр помощи детям, оставшимся без</w:t>
            </w:r>
          </w:p>
          <w:p>
            <w:pPr>
              <w:pStyle w:val="NoSpacing"/>
              <w:ind w:left="0"/>
              <w:jc w:val="center"/>
              <w:rPr>
                <w:rFonts w:ascii="Times New Roman" w:hAnsi="Times New Roman"/>
                <w:b/>
                <w:bCs/>
                <w:color w:val="000000"/>
                <w:sz w:val="30"/>
                <w:szCs w:val="30"/>
              </w:rPr>
            </w:pPr>
            <w:r>
              <w:rPr>
                <w:rFonts w:ascii="Times New Roman" w:hAnsi="Times New Roman"/>
                <w:b/>
                <w:bCs/>
                <w:color w:val="000000"/>
                <w:sz w:val="30"/>
                <w:szCs w:val="30"/>
              </w:rPr>
              <w:t>попечения родителей «Дом детства»»</w:t>
            </w:r>
          </w:p>
          <w:p>
            <w:pPr>
              <w:pStyle w:val="NoSpacing"/>
              <w:ind w:left="0"/>
              <w:jc w:val="center"/>
              <w:rPr>
                <w:rFonts w:ascii="Times New Roman" w:hAnsi="Times New Roman"/>
                <w:sz w:val="30"/>
                <w:szCs w:val="30"/>
              </w:rPr>
            </w:pPr>
            <w:r>
              <w:rPr>
                <w:rFonts w:ascii="Times New Roman" w:hAnsi="Times New Roman"/>
                <w:b/>
                <w:bCs/>
                <w:color w:val="000000"/>
                <w:sz w:val="30"/>
                <w:szCs w:val="30"/>
              </w:rPr>
              <w:t>(АУ ТО «Дом детства»)</w:t>
            </w:r>
          </w:p>
          <w:p>
            <w:pPr>
              <w:pStyle w:val="NoSpacing"/>
              <w:ind w:left="0"/>
              <w:jc w:val="center"/>
              <w:rPr>
                <w:rFonts w:ascii="Times New Roman" w:hAnsi="Times New Roman"/>
              </w:rPr>
            </w:pPr>
            <w:r>
              <w:rPr>
                <w:rFonts w:ascii="Times New Roman" w:hAnsi="Times New Roman"/>
                <w:color w:val="000000"/>
              </w:rPr>
              <w:t>ул.Семена Ремезова, д. 70, стр.1, г. Тобольск, Тюменская область, 626150, тел 8 (3456)25-91-02</w:t>
            </w:r>
          </w:p>
          <w:p>
            <w:pPr>
              <w:pStyle w:val="Normal"/>
              <w:jc w:val="center"/>
              <w:rPr>
                <w:color w:val="000000"/>
                <w:lang w:val="en-US"/>
              </w:rPr>
            </w:pPr>
            <w:r>
              <w:rPr>
                <w:color w:val="000000"/>
                <w:lang w:val="en-US"/>
              </w:rPr>
              <w:t xml:space="preserve">E-mail: </w:t>
            </w:r>
            <w:hyperlink r:id="rId3">
              <w:r>
                <w:rPr>
                  <w:rStyle w:val="Hyperlink"/>
                  <w:lang w:val="en-US"/>
                </w:rPr>
                <w:t xml:space="preserve"> dom_detstva@obl72.ru </w:t>
              </w:r>
              <w:r>
                <w:rPr>
                  <w:rStyle w:val="Hyperlink"/>
                </w:rPr>
                <w:t>ИНН</w:t>
              </w:r>
              <w:r>
                <w:rPr>
                  <w:rStyle w:val="Hyperlink"/>
                  <w:lang w:val="en-US"/>
                </w:rPr>
                <w:t>/</w:t>
              </w:r>
              <w:r>
                <w:rPr>
                  <w:rStyle w:val="Hyperlink"/>
                </w:rPr>
                <w:t>КПП</w:t>
              </w:r>
              <w:r>
                <w:rPr>
                  <w:rStyle w:val="Hyperlink"/>
                  <w:lang w:val="en-US"/>
                </w:rPr>
                <w:t xml:space="preserve"> 7206062170/720601001</w:t>
              </w:r>
            </w:hyperlink>
          </w:p>
          <w:p>
            <w:pPr>
              <w:pStyle w:val="Normal"/>
              <w:jc w:val="center"/>
              <w:rPr>
                <w:b/>
                <w:sz w:val="20"/>
                <w:szCs w:val="20"/>
                <w:lang w:val="en-US"/>
              </w:rPr>
            </w:pPr>
            <w:r>
              <w:rPr>
                <w:b/>
                <w:sz w:val="20"/>
                <w:szCs w:val="20"/>
                <w:lang w:val="en-US"/>
              </w:rPr>
            </w:r>
          </w:p>
        </w:tc>
      </w:tr>
    </w:tbl>
    <w:p>
      <w:pPr>
        <w:pStyle w:val="Normal"/>
        <w:rPr>
          <w:rFonts w:ascii="Arial" w:hAnsi="Arial" w:cs="Arial"/>
          <w:lang w:val="en-US"/>
        </w:rPr>
      </w:pPr>
      <w:r>
        <w:rPr>
          <w:rFonts w:cs="Arial" w:ascii="Arial" w:hAnsi="Arial"/>
          <w:lang w:val="en-US"/>
        </w:rPr>
      </w:r>
    </w:p>
    <w:p>
      <w:pPr>
        <w:pStyle w:val="Normal"/>
        <w:rPr>
          <w:rFonts w:ascii="Arial" w:hAnsi="Arial" w:cs="Arial"/>
          <w:sz w:val="20"/>
          <w:szCs w:val="20"/>
        </w:rPr>
      </w:pPr>
      <w:r>
        <w:rPr>
          <w:rFonts w:cs="Arial" w:ascii="Arial" w:hAnsi="Arial"/>
          <w:sz w:val="20"/>
          <w:szCs w:val="20"/>
        </w:rPr>
        <w:t xml:space="preserve">Исх. </w:t>
      </w:r>
      <w:r>
        <w:rPr>
          <w:rFonts w:cs="Arial" w:ascii="Arial" w:hAnsi="Arial"/>
          <w:sz w:val="20"/>
          <w:szCs w:val="20"/>
        </w:rPr>
        <w:t>15</w:t>
      </w:r>
      <w:r>
        <w:rPr>
          <w:rFonts w:cs="Arial" w:ascii="Arial" w:hAnsi="Arial"/>
          <w:sz w:val="20"/>
          <w:szCs w:val="20"/>
        </w:rPr>
        <w:t>.10</w:t>
      </w:r>
      <w:r>
        <w:rPr>
          <w:rFonts w:cs="Arial" w:ascii="Arial" w:hAnsi="Arial"/>
          <w:color w:val="auto"/>
          <w:sz w:val="20"/>
          <w:szCs w:val="20"/>
        </w:rPr>
        <w:t>.</w:t>
      </w:r>
      <w:r>
        <w:rPr>
          <w:rFonts w:cs="Arial" w:ascii="Arial" w:hAnsi="Arial"/>
          <w:sz w:val="20"/>
          <w:szCs w:val="20"/>
        </w:rPr>
        <w:t xml:space="preserve">2026 </w:t>
      </w:r>
    </w:p>
    <w:p>
      <w:pPr>
        <w:pStyle w:val="Normal"/>
        <w:jc w:val="center"/>
        <w:rPr>
          <w:rFonts w:ascii="Arial" w:hAnsi="Arial" w:cs="Arial"/>
          <w:b/>
          <w:bCs/>
          <w:color w:val="000000"/>
          <w:sz w:val="20"/>
          <w:szCs w:val="20"/>
          <w:shd w:fill="FFFFFF" w:val="clear"/>
        </w:rPr>
      </w:pPr>
      <w:r>
        <w:rPr>
          <w:rFonts w:cs="Arial" w:ascii="Arial" w:hAnsi="Arial"/>
          <w:b/>
          <w:bCs/>
          <w:color w:val="000000"/>
          <w:sz w:val="20"/>
          <w:szCs w:val="20"/>
          <w:shd w:fill="FFFFFF" w:val="clear"/>
        </w:rPr>
      </w:r>
    </w:p>
    <w:p>
      <w:pPr>
        <w:pStyle w:val="Normal"/>
        <w:jc w:val="center"/>
        <w:rPr>
          <w:rFonts w:ascii="Arial" w:hAnsi="Arial" w:cs="Arial"/>
          <w:b/>
          <w:bCs/>
          <w:color w:val="000000"/>
          <w:sz w:val="20"/>
          <w:szCs w:val="20"/>
          <w:shd w:fill="FFFFFF" w:val="clear"/>
        </w:rPr>
      </w:pPr>
      <w:r>
        <w:rPr>
          <w:rFonts w:cs="Arial" w:ascii="Arial" w:hAnsi="Arial"/>
          <w:b/>
          <w:bCs/>
          <w:color w:val="000000"/>
          <w:sz w:val="20"/>
          <w:szCs w:val="20"/>
          <w:shd w:fill="FFFFFF" w:val="clear"/>
        </w:rPr>
        <w:t>Запрос коммерческого предложения</w:t>
      </w:r>
    </w:p>
    <w:p>
      <w:pPr>
        <w:pStyle w:val="Normal"/>
        <w:jc w:val="center"/>
        <w:rPr>
          <w:rFonts w:ascii="Arial" w:hAnsi="Arial" w:cs="Arial"/>
          <w:color w:val="000000"/>
          <w:sz w:val="26"/>
          <w:szCs w:val="26"/>
          <w:shd w:fill="FFFFFF" w:val="clear"/>
        </w:rPr>
      </w:pPr>
      <w:r>
        <w:rPr>
          <w:rFonts w:cs="Arial" w:ascii="Arial" w:hAnsi="Arial"/>
          <w:color w:val="000000"/>
          <w:sz w:val="26"/>
          <w:szCs w:val="26"/>
          <w:shd w:fill="FFFFFF" w:val="clear"/>
        </w:rPr>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 xml:space="preserve">В целях обоснования начальной (максимальной) цены договора на поставку продуктов питания, прошу направить информацию (коммерческое предложение) согласно таблице в срок до </w:t>
      </w:r>
      <w:r>
        <w:rPr>
          <w:rFonts w:cs="Arial" w:ascii="Arial" w:hAnsi="Arial"/>
          <w:color w:val="000000"/>
          <w:sz w:val="20"/>
          <w:szCs w:val="20"/>
          <w:shd w:fill="FFFFFF" w:val="clear"/>
        </w:rPr>
        <w:t>22</w:t>
      </w:r>
      <w:r>
        <w:rPr>
          <w:rFonts w:cs="Arial" w:ascii="Arial" w:hAnsi="Arial"/>
          <w:color w:val="000000"/>
          <w:sz w:val="20"/>
          <w:szCs w:val="20"/>
          <w:shd w:fill="FFFFFF" w:val="clear"/>
        </w:rPr>
        <w:t xml:space="preserve">.10.2026. на эл.почту </w:t>
      </w:r>
      <w:r>
        <w:rPr>
          <w:rStyle w:val="Hyperlink"/>
          <w:rFonts w:cs="Arial" w:ascii="Arial" w:hAnsi="Arial"/>
          <w:sz w:val="20"/>
          <w:szCs w:val="20"/>
          <w:shd w:fill="FFFFFF" w:val="clear"/>
        </w:rPr>
        <w:t xml:space="preserve">sevryukovatyu@obl72.ru </w:t>
      </w:r>
      <w:r>
        <w:rPr>
          <w:rFonts w:cs="Arial" w:ascii="Arial" w:hAnsi="Arial"/>
          <w:color w:val="000000"/>
          <w:sz w:val="20"/>
          <w:szCs w:val="20"/>
          <w:shd w:fill="FFFFFF" w:val="clear"/>
        </w:rPr>
        <w:t>:</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КАЧЕСТВО, МАРКИРОВКА ТОВАРА:</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 xml:space="preserve">1. Качество товара должно соответствовать ГОСТам, ТУ, СТО, ТШ, ТР, ТС на данный вид товара строго заявленные Покупателем в спецификации и подтверждаться имеющимися сертификатами качества, декларациями и протоколами испытаний, подтверждающие достоверность информации: «без ГМО», «не содержит ГМО» выданными заводом производителем. </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 xml:space="preserve">2. Копии сертификатов, заверенных надлежащим образом, подлежат передаче одновременно с передачей Товара. </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3. Качество товара должно соответствовать виду (классу), установленному в Техническом задании. Товар по показателям безопасности и пищевой ценности должен соответствовать единым санитарно-эпидемиологическим и гигиеническим требованиям к продукции (товару), подлежащей санитарно-эпидемиологическому надзору(контролю) (утверждены Решением Комиссии Таможенного союза от 28.05.2010 №299 «О применении санитарных мер в Евразийском экономическом союзе), Техническому регламенту Таможенного союза ТР ТС 021/2011 «О безопасности пищевой продукции» (утвержден Решением Комиссии Таможенного союза от 09.12.2011 № 880).</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4.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СРОКИ И УСЛОВИЯ ПОСТАВКИ ТОВАРА:</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1. Поставка Товара осуществляется с 01.01.2027 по 31.12.2027 по заявкам Покупателя 3 (три) раза в неделю (понедельник, среда, пятница) до 12.00 часов.</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2. Место поставки товара: Тюменская область, г.Тобольск, улица Семена Ремезова, 70, строение 1.</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3. Товар должен быть упакован в тару и упаковку, обеспечивающую сохранность Товара при перевозке и проведении погрузочно-разгрузочных работ.</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 xml:space="preserve">4. При поставке тара и упаковка не должны иметь признаков повреждения, ржавчины, вмятин и нарушения целостности. </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5. Поставка продуктов, требующих соблюдение температурного режима осуществляется автотранспортом с фургоном рефрижератором.</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t>6. Поставщик должен быть зарегистрированным в государственной информационной системе Меркурий (далее- ГИС Меркурий) и добросовестно фиксировать оборот (производство, перемещение, передача Покупателю) подконтрольных товаров;</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r>
    </w:p>
    <w:p>
      <w:pPr>
        <w:pStyle w:val="Normal"/>
        <w:ind w:firstLine="708"/>
        <w:jc w:val="both"/>
        <w:rPr/>
      </w:pPr>
      <w:r>
        <w:rPr>
          <w:rStyle w:val="Style18"/>
          <w:rFonts w:cs="Arial" w:ascii="Arial" w:hAnsi="Arial"/>
          <w:color w:val="000000"/>
          <w:sz w:val="20"/>
          <w:szCs w:val="20"/>
          <w:shd w:fill="FFFFFF" w:val="clear"/>
        </w:rPr>
        <w:t>Сбор данной информации не влечет за собой возникновение каких-либо обязательств Заказчика.</w:t>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r>
    </w:p>
    <w:p>
      <w:pPr>
        <w:pStyle w:val="Normal"/>
        <w:ind w:firstLine="708"/>
        <w:jc w:val="both"/>
        <w:rPr>
          <w:rFonts w:ascii="Arial" w:hAnsi="Arial" w:cs="Arial"/>
          <w:color w:val="000000"/>
          <w:sz w:val="20"/>
          <w:szCs w:val="20"/>
          <w:shd w:fill="FFFFFF" w:val="clear"/>
        </w:rPr>
      </w:pPr>
      <w:r>
        <w:rPr>
          <w:rFonts w:cs="Arial" w:ascii="Arial" w:hAnsi="Arial"/>
          <w:color w:val="000000"/>
          <w:sz w:val="20"/>
          <w:szCs w:val="20"/>
          <w:shd w:fill="FFFFFF" w:val="clear"/>
        </w:rPr>
      </w:r>
    </w:p>
    <w:tbl>
      <w:tblPr>
        <w:tblW w:w="10245" w:type="dxa"/>
        <w:jc w:val="left"/>
        <w:tblInd w:w="-783" w:type="dxa"/>
        <w:tblLayout w:type="fixed"/>
        <w:tblCellMar>
          <w:top w:w="0" w:type="dxa"/>
          <w:left w:w="108" w:type="dxa"/>
          <w:bottom w:w="0" w:type="dxa"/>
          <w:right w:w="108" w:type="dxa"/>
        </w:tblCellMar>
      </w:tblPr>
      <w:tblGrid>
        <w:gridCol w:w="414"/>
        <w:gridCol w:w="1740"/>
        <w:gridCol w:w="5474"/>
        <w:gridCol w:w="734"/>
        <w:gridCol w:w="974"/>
        <w:gridCol w:w="908"/>
      </w:tblGrid>
      <w:tr>
        <w:trPr>
          <w:cantSplit w:val="true"/>
        </w:trPr>
        <w:tc>
          <w:tcPr>
            <w:tcW w:w="414" w:type="dxa"/>
            <w:tcBorders>
              <w:top w:val="single" w:sz="4" w:space="0" w:color="000000"/>
              <w:left w:val="single" w:sz="4" w:space="0" w:color="000000"/>
              <w:bottom w:val="single" w:sz="4" w:space="0" w:color="000000"/>
              <w:right w:val="single" w:sz="4" w:space="0" w:color="000000"/>
            </w:tcBorders>
            <w:vAlign w:val="center"/>
          </w:tcPr>
          <w:p>
            <w:pPr>
              <w:pStyle w:val="Normal"/>
              <w:keepLines/>
              <w:snapToGrid w:val="false"/>
              <w:ind w:left="-113" w:right="0"/>
              <w:rPr>
                <w:bCs/>
                <w:sz w:val="18"/>
                <w:szCs w:val="18"/>
              </w:rPr>
            </w:pPr>
            <w:r>
              <w:rPr>
                <w:bCs/>
                <w:sz w:val="18"/>
                <w:szCs w:val="18"/>
              </w:rPr>
            </w:r>
          </w:p>
        </w:tc>
        <w:tc>
          <w:tcPr>
            <w:tcW w:w="1740" w:type="dxa"/>
            <w:tcBorders>
              <w:top w:val="single" w:sz="4" w:space="0" w:color="000000"/>
              <w:left w:val="single" w:sz="4" w:space="0" w:color="000000"/>
              <w:bottom w:val="single" w:sz="4" w:space="0" w:color="000000"/>
              <w:right w:val="single" w:sz="4" w:space="0" w:color="000000"/>
            </w:tcBorders>
            <w:vAlign w:val="center"/>
          </w:tcPr>
          <w:p>
            <w:pPr>
              <w:pStyle w:val="Normal"/>
              <w:keepLines/>
              <w:rPr>
                <w:b/>
                <w:bCs/>
                <w:sz w:val="18"/>
                <w:szCs w:val="18"/>
              </w:rPr>
            </w:pPr>
            <w:r>
              <w:rPr>
                <w:b/>
                <w:bCs/>
                <w:sz w:val="18"/>
                <w:szCs w:val="18"/>
              </w:rPr>
              <w:t>Наименование товара</w:t>
            </w:r>
          </w:p>
          <w:p>
            <w:pPr>
              <w:pStyle w:val="Normal"/>
              <w:keepLines/>
              <w:rPr>
                <w:b/>
                <w:bCs/>
                <w:sz w:val="18"/>
                <w:szCs w:val="18"/>
              </w:rPr>
            </w:pPr>
            <w:r>
              <w:rPr>
                <w:b/>
                <w:bCs/>
                <w:sz w:val="18"/>
                <w:szCs w:val="18"/>
              </w:rPr>
            </w:r>
          </w:p>
        </w:tc>
        <w:tc>
          <w:tcPr>
            <w:tcW w:w="5474" w:type="dxa"/>
            <w:tcBorders>
              <w:top w:val="single" w:sz="4" w:space="0" w:color="000000"/>
              <w:left w:val="single" w:sz="4" w:space="0" w:color="000000"/>
              <w:bottom w:val="single" w:sz="4" w:space="0" w:color="000000"/>
              <w:right w:val="single" w:sz="4" w:space="0" w:color="000000"/>
            </w:tcBorders>
            <w:vAlign w:val="center"/>
          </w:tcPr>
          <w:p>
            <w:pPr>
              <w:pStyle w:val="Normal"/>
              <w:keepLines/>
              <w:rPr>
                <w:b/>
                <w:bCs/>
                <w:sz w:val="18"/>
                <w:szCs w:val="18"/>
              </w:rPr>
            </w:pPr>
            <w:r>
              <w:rPr>
                <w:b/>
                <w:bCs/>
                <w:sz w:val="18"/>
                <w:szCs w:val="18"/>
              </w:rPr>
              <w:t>Качественные характеристики товара</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keepLines/>
              <w:rPr>
                <w:rFonts w:eastAsia="Calibri"/>
                <w:b/>
                <w:bCs/>
                <w:sz w:val="18"/>
                <w:szCs w:val="18"/>
                <w:lang w:eastAsia="en-US"/>
              </w:rPr>
            </w:pPr>
            <w:r>
              <w:rPr>
                <w:rFonts w:eastAsia="Calibri"/>
                <w:b/>
                <w:bCs/>
                <w:sz w:val="18"/>
                <w:szCs w:val="18"/>
                <w:lang w:eastAsia="en-US"/>
              </w:rPr>
              <w:t>Ед.</w:t>
            </w:r>
          </w:p>
          <w:p>
            <w:pPr>
              <w:pStyle w:val="Normal"/>
              <w:keepLines/>
              <w:rPr>
                <w:rFonts w:eastAsia="Calibri"/>
                <w:b/>
                <w:bCs/>
                <w:sz w:val="18"/>
                <w:szCs w:val="18"/>
                <w:lang w:eastAsia="en-US"/>
              </w:rPr>
            </w:pPr>
            <w:r>
              <w:rPr>
                <w:rFonts w:eastAsia="Calibri"/>
                <w:b/>
                <w:bCs/>
                <w:sz w:val="18"/>
                <w:szCs w:val="18"/>
                <w:lang w:eastAsia="en-US"/>
              </w:rPr>
              <w:t>Изм.</w:t>
            </w:r>
          </w:p>
        </w:tc>
        <w:tc>
          <w:tcPr>
            <w:tcW w:w="974" w:type="dxa"/>
            <w:tcBorders>
              <w:top w:val="single" w:sz="4" w:space="0" w:color="000000"/>
              <w:left w:val="single" w:sz="4" w:space="0" w:color="000000"/>
              <w:bottom w:val="single" w:sz="4" w:space="0" w:color="000000"/>
              <w:right w:val="single" w:sz="4" w:space="0" w:color="000000"/>
            </w:tcBorders>
            <w:vAlign w:val="center"/>
          </w:tcPr>
          <w:p>
            <w:pPr>
              <w:pStyle w:val="Normal"/>
              <w:keepLines/>
              <w:rPr>
                <w:rFonts w:eastAsia="Calibri"/>
                <w:b/>
                <w:bCs/>
                <w:sz w:val="18"/>
                <w:szCs w:val="18"/>
                <w:lang w:eastAsia="en-US"/>
              </w:rPr>
            </w:pPr>
            <w:r>
              <w:rPr>
                <w:rFonts w:eastAsia="Calibri"/>
                <w:b/>
                <w:bCs/>
                <w:sz w:val="18"/>
                <w:szCs w:val="18"/>
                <w:lang w:eastAsia="en-US"/>
              </w:rPr>
              <w:t>Кол-во (объем)</w:t>
            </w:r>
          </w:p>
        </w:tc>
        <w:tc>
          <w:tcPr>
            <w:tcW w:w="908" w:type="dxa"/>
            <w:tcBorders>
              <w:top w:val="single" w:sz="4" w:space="0" w:color="000000"/>
              <w:left w:val="single" w:sz="4" w:space="0" w:color="000000"/>
              <w:bottom w:val="single" w:sz="4" w:space="0" w:color="000000"/>
              <w:right w:val="single" w:sz="4" w:space="0" w:color="000000"/>
            </w:tcBorders>
            <w:vAlign w:val="center"/>
          </w:tcPr>
          <w:p>
            <w:pPr>
              <w:pStyle w:val="Normal"/>
              <w:keepLines/>
              <w:rPr>
                <w:rFonts w:eastAsia="Calibri"/>
                <w:b/>
                <w:bCs/>
                <w:color w:val="auto"/>
                <w:sz w:val="18"/>
                <w:szCs w:val="18"/>
                <w:lang w:eastAsia="en-US"/>
              </w:rPr>
            </w:pPr>
            <w:r>
              <w:rPr>
                <w:rFonts w:eastAsia="Calibri"/>
                <w:b/>
                <w:bCs/>
                <w:color w:val="auto"/>
                <w:sz w:val="18"/>
                <w:szCs w:val="18"/>
                <w:lang w:eastAsia="en-US"/>
              </w:rPr>
            </w:r>
          </w:p>
          <w:p>
            <w:pPr>
              <w:pStyle w:val="Normal"/>
              <w:keepLines/>
              <w:rPr>
                <w:rFonts w:eastAsia="Calibri"/>
                <w:b/>
                <w:bCs/>
                <w:color w:val="auto"/>
                <w:sz w:val="18"/>
                <w:szCs w:val="18"/>
                <w:lang w:eastAsia="en-US"/>
              </w:rPr>
            </w:pPr>
            <w:r>
              <w:rPr>
                <w:rFonts w:eastAsia="Calibri"/>
                <w:b/>
                <w:bCs/>
                <w:color w:val="auto"/>
                <w:sz w:val="18"/>
                <w:szCs w:val="18"/>
                <w:lang w:eastAsia="en-US"/>
              </w:rPr>
              <w:t>Цена за ед., руб.</w:t>
            </w:r>
          </w:p>
        </w:tc>
      </w:tr>
      <w:tr>
        <w:trPr>
          <w:cantSplit w:val="true"/>
        </w:trPr>
        <w:tc>
          <w:tcPr>
            <w:tcW w:w="414" w:type="dxa"/>
            <w:tcBorders>
              <w:top w:val="single" w:sz="4" w:space="0" w:color="000000"/>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w:t>
            </w:r>
          </w:p>
        </w:tc>
        <w:tc>
          <w:tcPr>
            <w:tcW w:w="1740" w:type="dxa"/>
            <w:tcBorders>
              <w:top w:val="single" w:sz="4" w:space="0" w:color="000000"/>
              <w:left w:val="single" w:sz="4" w:space="0" w:color="000000"/>
              <w:bottom w:val="single" w:sz="4" w:space="0" w:color="000000"/>
              <w:right w:val="single" w:sz="4" w:space="0" w:color="000000"/>
            </w:tcBorders>
            <w:vAlign w:val="center"/>
          </w:tcPr>
          <w:p>
            <w:pPr>
              <w:pStyle w:val="Normal"/>
              <w:rPr>
                <w:sz w:val="18"/>
                <w:szCs w:val="18"/>
              </w:rPr>
            </w:pPr>
            <w:r>
              <w:rPr>
                <w:sz w:val="18"/>
                <w:szCs w:val="18"/>
              </w:rPr>
              <w:t>Горох колотый, шлифованный</w:t>
            </w:r>
          </w:p>
        </w:tc>
        <w:tc>
          <w:tcPr>
            <w:tcW w:w="5474" w:type="dxa"/>
            <w:tcBorders>
              <w:top w:val="single" w:sz="4" w:space="0" w:color="000000"/>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6201-2020. ТР ТС 021/2011. Вид: горох колотый шлифованный, полированный. Сорт: первый. Желтого, зеленого цвета с разделенными семядолями, без посторонних запахов и привкусов. Не допускается зараженность крупы живыми вредителями (клещами, насекомыми). Упаковка не более 5,0 кг. Целостность упаковки не нарушена. Остаточный срок годности не менее 90% на момент поставки товара.</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top w:val="single" w:sz="4" w:space="0" w:color="000000"/>
              <w:left w:val="single" w:sz="4" w:space="0" w:color="000000"/>
              <w:bottom w:val="single" w:sz="4" w:space="0" w:color="000000"/>
              <w:right w:val="single" w:sz="4" w:space="0" w:color="000000"/>
            </w:tcBorders>
            <w:vAlign w:val="center"/>
          </w:tcPr>
          <w:p>
            <w:pPr>
              <w:pStyle w:val="Normal"/>
              <w:keepLines/>
              <w:rPr>
                <w:bCs/>
                <w:sz w:val="24"/>
                <w:szCs w:val="24"/>
              </w:rPr>
            </w:pPr>
            <w:r>
              <w:rPr>
                <w:bCs/>
                <w:sz w:val="24"/>
                <w:szCs w:val="24"/>
              </w:rPr>
              <w:t>20</w:t>
            </w:r>
          </w:p>
        </w:tc>
        <w:tc>
          <w:tcPr>
            <w:tcW w:w="908" w:type="dxa"/>
            <w:tcBorders>
              <w:top w:val="single" w:sz="4" w:space="0" w:color="000000"/>
              <w:left w:val="single" w:sz="4" w:space="0" w:color="000000"/>
              <w:bottom w:val="single" w:sz="4" w:space="0" w:color="000000"/>
              <w:right w:val="single" w:sz="4" w:space="0" w:color="000000"/>
            </w:tcBorders>
            <w:vAlign w:val="center"/>
          </w:tcPr>
          <w:p>
            <w:pPr>
              <w:pStyle w:val="Normal"/>
              <w:keepLines/>
              <w:snapToGrid w:val="false"/>
              <w:rPr>
                <w:color w:val="000000"/>
                <w:sz w:val="24"/>
                <w:szCs w:val="24"/>
                <w:shd w:fill="auto" w:val="clear"/>
              </w:rPr>
            </w:pPr>
            <w:r>
              <w:rPr>
                <w:color w:val="000000"/>
                <w:sz w:val="24"/>
                <w:szCs w:val="24"/>
                <w:shd w:fill="auto" w:val="clear"/>
              </w:rPr>
            </w:r>
          </w:p>
        </w:tc>
      </w:tr>
      <w:tr>
        <w:trPr>
          <w:cantSplit w:val="true"/>
        </w:trPr>
        <w:tc>
          <w:tcPr>
            <w:tcW w:w="414" w:type="dxa"/>
            <w:tcBorders>
              <w:top w:val="single" w:sz="4" w:space="0" w:color="000000"/>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w:t>
            </w:r>
          </w:p>
        </w:tc>
        <w:tc>
          <w:tcPr>
            <w:tcW w:w="1740" w:type="dxa"/>
            <w:tcBorders>
              <w:top w:val="single" w:sz="4" w:space="0" w:color="000000"/>
              <w:left w:val="single" w:sz="4" w:space="0" w:color="000000"/>
              <w:bottom w:val="single" w:sz="4" w:space="0" w:color="000000"/>
              <w:right w:val="single" w:sz="4" w:space="0" w:color="000000"/>
            </w:tcBorders>
            <w:vAlign w:val="center"/>
          </w:tcPr>
          <w:p>
            <w:pPr>
              <w:pStyle w:val="Normal"/>
              <w:rPr>
                <w:sz w:val="18"/>
                <w:szCs w:val="18"/>
              </w:rPr>
            </w:pPr>
            <w:r>
              <w:rPr>
                <w:sz w:val="18"/>
                <w:szCs w:val="18"/>
              </w:rPr>
              <w:t>Макаронные изделия из твердых сортов пшеницы</w:t>
            </w:r>
          </w:p>
        </w:tc>
        <w:tc>
          <w:tcPr>
            <w:tcW w:w="5474" w:type="dxa"/>
            <w:tcBorders>
              <w:top w:val="single" w:sz="4" w:space="0" w:color="000000"/>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31743-2017 ТР ТС 021/2011.  Из твердых сортов пшеницы, группы А высшего сорта. Тип макаронных изделий: в ассортименте. Цвет соответствует сорту муки, форма соответствует виду изделия без посторонних запахов и привкусов. Упаковка не более 5 кг. Целостность упаковки не нарушена. Остаточный срок годности не менее 90% на момент поставки товара.</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top w:val="single" w:sz="4" w:space="0" w:color="000000"/>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190</w:t>
            </w:r>
          </w:p>
        </w:tc>
        <w:tc>
          <w:tcPr>
            <w:tcW w:w="908" w:type="dxa"/>
            <w:tcBorders>
              <w:top w:val="single" w:sz="4" w:space="0" w:color="000000"/>
              <w:left w:val="single" w:sz="4" w:space="0" w:color="000000"/>
              <w:bottom w:val="single" w:sz="4" w:space="0" w:color="000000"/>
              <w:right w:val="single" w:sz="4" w:space="0" w:color="000000"/>
            </w:tcBorders>
            <w:vAlign w:val="center"/>
          </w:tcPr>
          <w:p>
            <w:pPr>
              <w:pStyle w:val="Normal"/>
              <w:keepLines/>
              <w:snapToGrid w:val="false"/>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Крупа пшено</w:t>
            </w:r>
          </w:p>
        </w:tc>
        <w:tc>
          <w:tcPr>
            <w:tcW w:w="5474" w:type="dxa"/>
            <w:tcBorders>
              <w:left w:val="single" w:sz="4" w:space="0" w:color="000000"/>
              <w:bottom w:val="single" w:sz="4" w:space="0" w:color="000000"/>
              <w:right w:val="single" w:sz="4" w:space="0" w:color="000000"/>
            </w:tcBorders>
            <w:vAlign w:val="center"/>
          </w:tcPr>
          <w:p>
            <w:pPr>
              <w:pStyle w:val="Normal"/>
              <w:rPr>
                <w:sz w:val="16"/>
                <w:szCs w:val="16"/>
              </w:rPr>
            </w:pPr>
            <w:r>
              <w:rPr>
                <w:sz w:val="16"/>
                <w:szCs w:val="16"/>
              </w:rPr>
              <w:t>Соответствие ГОСТ 572-2016 ТР ТС 021/2011.  Крупа пшено шлифованное. Сорт высший. Желтого цвета разных оттенков без посторонних запахов и привкусов, в/с. Зараженность крупы живыми вредителями (клещами, насекомыми) не допускается. Упаковка не более 5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40</w:t>
            </w:r>
          </w:p>
        </w:tc>
        <w:tc>
          <w:tcPr>
            <w:tcW w:w="908" w:type="dxa"/>
            <w:tcBorders>
              <w:left w:val="single" w:sz="4" w:space="0" w:color="000000"/>
              <w:bottom w:val="single" w:sz="4" w:space="0" w:color="000000"/>
              <w:right w:val="single" w:sz="4" w:space="0" w:color="000000"/>
            </w:tcBorders>
            <w:vAlign w:val="center"/>
          </w:tcPr>
          <w:p>
            <w:pPr>
              <w:pStyle w:val="Normal"/>
              <w:keepLines/>
              <w:snapToGrid w:val="false"/>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4</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Крупа гречневая</w:t>
            </w:r>
          </w:p>
        </w:tc>
        <w:tc>
          <w:tcPr>
            <w:tcW w:w="5474" w:type="dxa"/>
            <w:tcBorders>
              <w:left w:val="single" w:sz="4" w:space="0" w:color="000000"/>
              <w:bottom w:val="single" w:sz="4" w:space="0" w:color="000000"/>
              <w:right w:val="single" w:sz="4" w:space="0" w:color="000000"/>
            </w:tcBorders>
            <w:vAlign w:val="center"/>
          </w:tcPr>
          <w:p>
            <w:pPr>
              <w:pStyle w:val="Normal"/>
              <w:rPr>
                <w:sz w:val="16"/>
                <w:szCs w:val="16"/>
              </w:rPr>
            </w:pPr>
            <w:r>
              <w:rPr>
                <w:sz w:val="16"/>
                <w:szCs w:val="16"/>
              </w:rPr>
              <w:t>Соответствие ГОСТ 5550-2021 ТР ТС 021/2011.  Вид крупы: ядрица быстроразваривающаяся. Сорт крупы: высший; первый из пропаренного зерна. Целые и надколотые ядра гречихи коричневого разных оттенков. Запах свойственный данной крупе, без затхлости и плесени и других посторонних запахов. Зараженность вредителями (насекомыми и клещами) или наличие следов заражения не допускается. Упаковка не более 5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135</w:t>
            </w:r>
          </w:p>
        </w:tc>
        <w:tc>
          <w:tcPr>
            <w:tcW w:w="908" w:type="dxa"/>
            <w:tcBorders>
              <w:left w:val="single" w:sz="4" w:space="0" w:color="000000"/>
              <w:bottom w:val="single" w:sz="4" w:space="0" w:color="000000"/>
              <w:right w:val="single" w:sz="4" w:space="0" w:color="000000"/>
            </w:tcBorders>
            <w:vAlign w:val="center"/>
          </w:tcPr>
          <w:p>
            <w:pPr>
              <w:pStyle w:val="Normal"/>
              <w:keepLines/>
              <w:snapToGrid w:val="false"/>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5</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Крупа рисовая</w:t>
            </w:r>
          </w:p>
        </w:tc>
        <w:tc>
          <w:tcPr>
            <w:tcW w:w="5474" w:type="dxa"/>
            <w:tcBorders>
              <w:left w:val="single" w:sz="4" w:space="0" w:color="000000"/>
              <w:bottom w:val="single" w:sz="4" w:space="0" w:color="000000"/>
              <w:right w:val="single" w:sz="4" w:space="0" w:color="000000"/>
            </w:tcBorders>
            <w:vAlign w:val="center"/>
          </w:tcPr>
          <w:p>
            <w:pPr>
              <w:pStyle w:val="Normal"/>
              <w:rPr>
                <w:sz w:val="16"/>
                <w:szCs w:val="16"/>
              </w:rPr>
            </w:pPr>
            <w:r>
              <w:rPr>
                <w:sz w:val="16"/>
                <w:szCs w:val="16"/>
              </w:rPr>
              <w:t>Соответствие ГОСТ 6292-93 ТР ТС 021/2011.  Крупа рисовая шлифованная. Сорт: высший; первый. Форма зерен риса: круглозерный.  Цвет белый с различными оттенками. Запах свойственный данной крупе, без затхлости и плесени и других посторонних запахов.  Зараженность крупы живыми вредителями (клещами, насекомыми) не допускается. Упаковка не более 5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300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6</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Крупа геркулес</w:t>
            </w:r>
          </w:p>
        </w:tc>
        <w:tc>
          <w:tcPr>
            <w:tcW w:w="5474" w:type="dxa"/>
            <w:tcBorders>
              <w:left w:val="single" w:sz="4" w:space="0" w:color="000000"/>
              <w:bottom w:val="single" w:sz="4" w:space="0" w:color="000000"/>
              <w:right w:val="single" w:sz="4" w:space="0" w:color="000000"/>
            </w:tcBorders>
            <w:vAlign w:val="center"/>
          </w:tcPr>
          <w:p>
            <w:pPr>
              <w:pStyle w:val="Normal"/>
              <w:rPr>
                <w:sz w:val="16"/>
                <w:szCs w:val="16"/>
              </w:rPr>
            </w:pPr>
            <w:r>
              <w:rPr>
                <w:sz w:val="16"/>
                <w:szCs w:val="16"/>
              </w:rPr>
              <w:t>Соответствие ГОСТ 21149-93. ГОСТ 21149-2022. ТР ТС 021/2011. Хлопья овсяные. Вид: Геркулес. Вырабатывают из овсяной крупы высшего сорта по ГОСТ 3034. Белый с оттенком от кремового до желтоватого без посторонних запахов и привкусов. Полностью освобождена от цветочных пленок и волосков. Зараженность крупы живыми вредителями (клещами, насекомыми) не допускается. Упаковка не более 0,4-1,0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30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7</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Крупа манная</w:t>
            </w:r>
          </w:p>
        </w:tc>
        <w:tc>
          <w:tcPr>
            <w:tcW w:w="5474" w:type="dxa"/>
            <w:tcBorders>
              <w:left w:val="single" w:sz="4" w:space="0" w:color="000000"/>
              <w:bottom w:val="single" w:sz="4" w:space="0" w:color="000000"/>
              <w:right w:val="single" w:sz="4" w:space="0" w:color="000000"/>
            </w:tcBorders>
            <w:vAlign w:val="center"/>
          </w:tcPr>
          <w:p>
            <w:pPr>
              <w:pStyle w:val="Normal"/>
              <w:rPr>
                <w:sz w:val="16"/>
                <w:szCs w:val="16"/>
              </w:rPr>
            </w:pPr>
            <w:r>
              <w:rPr>
                <w:sz w:val="16"/>
                <w:szCs w:val="16"/>
              </w:rPr>
              <w:t>Соответствие ГОСТ 7022-2019. ТР ТС 021/2011. Вид помола: М; МТ. Преобладает непрозрачно мучнистая крупка ровного белого или кремового цвета. Запах: свойственный манной крупе без посторонних запахов, не затхлый, не плесневый. Вкус: свойственный манной крупе без посторонних привкусов не кислый, не горький. При разжевывании манной крупы не должно ощущаться хруста.  Зараженность крупы живыми вредителями (клещами, насекомыми) не допускается. Упаковка не более 5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35</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8</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Крупа пшеничная</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276-2021. ТР ТС 021/2011. Вид: Артек; Полтавская. Помол: №3; №4. Цвет: желтый. Вкус свойственный пшеничной крупе, без посторонних запахов, не затхлый, не плесневый. Зараженность крупы живыми вредителями (клещами, насекомыми) не допускается. Упаковка не более 5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35</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9</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Крупа ячневая</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5784-2022. ТР ТС 021/2011. Помол: №2; №3. Частицы дробленого ядра различной величины и формы, полностью освобожденные от цветковых пленок и частично от плодовых оболочек. Цвет белый с желтоватым, иногда зеленоватым оттенками. Вкус свойственный нормальной ячменной крупе, без посторонних привкусов, не кислый, не горький. Запах свойственный нормальной ячменной крупе, без затхлости, плесени и других посторонних запахов. Зараженность крупы живыми вредителями (клещами, насекомыми) не допускается. Упаковка не более 5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35</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10</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Крупа перловая</w:t>
            </w:r>
          </w:p>
        </w:tc>
        <w:tc>
          <w:tcPr>
            <w:tcW w:w="5474" w:type="dxa"/>
            <w:tcBorders>
              <w:left w:val="single" w:sz="4" w:space="0" w:color="000000"/>
              <w:bottom w:val="single" w:sz="4" w:space="0" w:color="000000"/>
              <w:right w:val="single" w:sz="4" w:space="0" w:color="000000"/>
            </w:tcBorders>
            <w:vAlign w:val="center"/>
          </w:tcPr>
          <w:p>
            <w:pPr>
              <w:pStyle w:val="Normal"/>
              <w:keepLines/>
              <w:rPr>
                <w:sz w:val="16"/>
                <w:szCs w:val="16"/>
              </w:rPr>
            </w:pPr>
            <w:r>
              <w:rPr>
                <w:sz w:val="16"/>
                <w:szCs w:val="16"/>
              </w:rPr>
              <w:t>Соответствие ГОСТ 5784-2022. ТР ТС 021/2011. Целые шлифованные ядра, освобожденные от цветочных пленок №3,4,5.: Запах свойственный данной крупе, без затхлости и плесени и других посторонних запахов. Цвет белый с желтоватым, иногда зеленоватым оттенками. Зараженность вредителями (насекомыми и клещами) или наличие следов заражения не допускается.</w:t>
            </w:r>
          </w:p>
          <w:p>
            <w:pPr>
              <w:pStyle w:val="Normal"/>
              <w:ind w:right="113"/>
              <w:rPr>
                <w:sz w:val="16"/>
                <w:szCs w:val="16"/>
              </w:rPr>
            </w:pPr>
            <w:r>
              <w:rPr>
                <w:sz w:val="16"/>
                <w:szCs w:val="16"/>
              </w:rPr>
              <w:t>Упаковка не более 5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65</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11</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Мука пшеничная хлебопекарная</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26574-2017. ТР ТС 021/2011. Пшеничная, хлебопекарная, высший сорт. Цвет: белый или с кремовым оттенком. Без посторонних примесей, при разжевывании муки не ощущается хруста. Вкус свойственный пшеничной муке, не кислый и не горький.  Запах: без затхлого, плесневелого или иного постороннего запаха. Без минеральных примесей. Не имеется зараженность и загрязненность вредителями. Влажность не более 15%. Количество клейковины не менее 28%. Зольность не более 0,55%. Упаковка не более 10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530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12</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Сахар-песок</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33222-2015. ТР ТС 021/2011. Категория: «Экстра»; ТС 1; ТС 2. Кристаллический. Массовая доля влаги не более 0,12%. Массовая доля сахарозы не менее 99,7%. Сладкий, без посторонних запахов и привкусов как в сухом сахаре, так и в растворе. Упаковка не более 10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color w:val="auto"/>
              </w:rPr>
            </w:pPr>
            <w:r>
              <w:rPr>
                <w:color w:val="auto"/>
                <w:sz w:val="24"/>
                <w:szCs w:val="24"/>
              </w:rPr>
              <w:t>880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13</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Сахарная пудра</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33222-2015. ТР ТС 021/2011. Сахарная пудра произведена исключительно из сахара высочайшего качества, не содержит антислеживателей, посторонних компонентов и прочих добавок. Внешний вид: белоснежный порошок мелко измельченный, размер кристаллов не более 0,2 мм., однородная сыпучая масса, мелкоизмельченная. Упаковка не более 0,2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pPr>
            <w:r>
              <w:rPr>
                <w:sz w:val="24"/>
                <w:szCs w:val="24"/>
              </w:rPr>
              <w:t>9,6</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14</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Соль пищевая йодированная</w:t>
            </w:r>
          </w:p>
        </w:tc>
        <w:tc>
          <w:tcPr>
            <w:tcW w:w="5474" w:type="dxa"/>
            <w:tcBorders>
              <w:left w:val="single" w:sz="4" w:space="0" w:color="000000"/>
              <w:bottom w:val="single" w:sz="4" w:space="0" w:color="000000"/>
              <w:right w:val="single" w:sz="4" w:space="0" w:color="000000"/>
            </w:tcBorders>
            <w:vAlign w:val="center"/>
          </w:tcPr>
          <w:p>
            <w:pPr>
              <w:pStyle w:val="Normal"/>
              <w:ind w:right="113"/>
              <w:jc w:val="both"/>
              <w:rPr>
                <w:b/>
                <w:bCs/>
                <w:color w:val="000000"/>
                <w:sz w:val="18"/>
                <w:szCs w:val="18"/>
              </w:rPr>
            </w:pPr>
            <w:r>
              <w:rPr>
                <w:sz w:val="18"/>
                <w:szCs w:val="18"/>
              </w:rPr>
              <w:t>Соответствие ГОСТ Р 51575-2000, СТ РК ГОСТ Р 51574-2003, ГОСТ Р 51574-2018. ТР ТС 021/2011. Соль пищевая, йодированная. Сорт: экстра, высший. Помол №1. Упаковка не более 1,0 кг.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color w:val="auto"/>
              </w:rPr>
            </w:pPr>
            <w:r>
              <w:rPr>
                <w:color w:val="auto"/>
                <w:sz w:val="24"/>
                <w:szCs w:val="24"/>
              </w:rPr>
              <w:t>108</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15</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Дрожжи сухие</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Р 54845-2011. ТР ТС 021/2011. Дрожжи хлебопекарные сушеные. Сорт высший. Цвет светло-желтый или светло-коричневый. Запах свойственный сушеным дрожжам, без посторонних запахов: гнилостного, плесени и др. Упаковка не более 0,011 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2,376</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16</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Тушенка из говядины</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32125-2013, ГОСТ 34177-2017. ТР ТС 021/2011. ТУ/СТО производителя, соответствующая характеристикам:</w:t>
            </w:r>
          </w:p>
          <w:p>
            <w:pPr>
              <w:pStyle w:val="Normal"/>
              <w:jc w:val="both"/>
              <w:rPr>
                <w:sz w:val="18"/>
                <w:szCs w:val="18"/>
              </w:rPr>
            </w:pPr>
            <w:r>
              <w:rPr>
                <w:sz w:val="18"/>
                <w:szCs w:val="18"/>
              </w:rPr>
              <w:t>Вид сырья: Говядина; Вид заливки: В собственном соку; Вид дополнительных ингредиентов: пряности; Сорт: Высший, Массовая доля мяса не менее 58%; Массовая доля белка не менее 15%; Массовая доля жира не более 17%; Массовая доля посторонних примесей, крахмала не допускается. Консервы должны быть герметично укупорены и стерилизованы. Не допускается вздутие банок, покрытие ржавчиной деформация. Масса индивидуальной упаковки не более 0,338кг.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30,42</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17</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Консервы из фасоли</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Р 54679-2011. ТР ТС 021/2011. ТУ/СТО производителя, соответствующая характеристикам: Вид заливки: фасоль натуральная. Массовая доля хлоридов не более 0,5-1,2%. Зерна фасоли одного типа, однородные по величине, в заливке.</w:t>
            </w:r>
          </w:p>
          <w:p>
            <w:pPr>
              <w:pStyle w:val="Normal"/>
              <w:keepNext w:val="true"/>
              <w:keepLines/>
              <w:jc w:val="both"/>
              <w:rPr>
                <w:sz w:val="18"/>
                <w:szCs w:val="18"/>
              </w:rPr>
            </w:pPr>
            <w:r>
              <w:rPr>
                <w:sz w:val="18"/>
                <w:szCs w:val="18"/>
              </w:rPr>
              <w:t>Цвет зерен - однородный, свойственный данному типу фасоли.</w:t>
            </w:r>
          </w:p>
          <w:p>
            <w:pPr>
              <w:pStyle w:val="Normal"/>
              <w:keepNext w:val="true"/>
              <w:keepLines/>
              <w:jc w:val="both"/>
              <w:rPr>
                <w:sz w:val="18"/>
                <w:szCs w:val="18"/>
              </w:rPr>
            </w:pPr>
            <w:r>
              <w:rPr>
                <w:sz w:val="18"/>
                <w:szCs w:val="18"/>
              </w:rPr>
              <w:t>Цвет заливки - с оттенком цвета фасоли, с незначительным количеством взвешенных частиц мякоти. Вкус и запах: свойственные данному виду консервов. Не допускаются посторонние привкус и запах. Консистенция: зерна целые, мягкие, но не разваренные. Минеральные примеси, примеси растительного происхождения и посторонние примеси не допускаются.</w:t>
            </w:r>
          </w:p>
          <w:p>
            <w:pPr>
              <w:pStyle w:val="Normal"/>
              <w:keepNext w:val="true"/>
              <w:keepLines/>
              <w:jc w:val="both"/>
              <w:rPr>
                <w:sz w:val="18"/>
                <w:szCs w:val="18"/>
              </w:rPr>
            </w:pPr>
            <w:r>
              <w:rPr>
                <w:sz w:val="18"/>
                <w:szCs w:val="18"/>
              </w:rPr>
              <w:t>Не допускается бомбаж – вздутие банок, покрытые ржавчиной банки, негерметично закрытые, отсутствие этикетки, их деформация.</w:t>
            </w:r>
          </w:p>
          <w:p>
            <w:pPr>
              <w:pStyle w:val="Normal"/>
              <w:keepNext w:val="true"/>
              <w:keepLines/>
              <w:jc w:val="both"/>
              <w:rPr>
                <w:bCs/>
                <w:color w:val="000000"/>
              </w:rPr>
            </w:pPr>
            <w:r>
              <w:rPr>
                <w:sz w:val="18"/>
                <w:szCs w:val="18"/>
              </w:rPr>
              <w:t>Масса упаковки не более 0,420 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96</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18</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Икра овощная</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highlight w:val="none"/>
                <w:shd w:fill="auto" w:val="clear"/>
              </w:rPr>
            </w:pPr>
            <w:r>
              <w:rPr>
                <w:sz w:val="18"/>
                <w:szCs w:val="18"/>
                <w:shd w:fill="auto" w:val="clear"/>
              </w:rPr>
              <w:t>Соответствие ГОСТ 2654-2017. ТР ТС 021/2011. ТУ/СТО производителя, соответствующая характеристикам:</w:t>
            </w:r>
          </w:p>
          <w:p>
            <w:pPr>
              <w:pStyle w:val="Normal"/>
              <w:jc w:val="both"/>
              <w:rPr>
                <w:highlight w:val="none"/>
                <w:shd w:fill="auto" w:val="clear"/>
              </w:rPr>
            </w:pPr>
            <w:r>
              <w:rPr>
                <w:sz w:val="18"/>
                <w:szCs w:val="18"/>
                <w:shd w:fill="auto" w:val="clear"/>
              </w:rPr>
              <w:t>Сорт высший. Икра овощная, изготовленная из свежих овощей (основное сырье). Стерилизованная. Вкус и запах соответствуют вкусу и запаху предварительно подготовленному виду овощей. Цвет кабачковой икры: от светло желтого до светло коричневого; икра из баклажанов: от светло коричневого до коричневого. Массовая доля жира не более 7,0% / 9,0%. Массовая доля хлоридов не более 0,6 %. Отсутствие ГМО, консервантов. Не допускаются минеральные примеси, примеси растительного происхождения, не предусмотренные рецептурой. Не допускается привкус прогорклого масла и наличие посторонних привкуса и запаха. Консистенция мажущаяся, слегка зернистая. Масса нетто не более 0,5 кг. Упаковка: стекло. Не допускается бомбаж, вздутие банки, не герметично закрытые, отсутствие этикетки.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115</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19</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Горошек зеленый консервированный</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34112-2017. ТР ТС 021/2011. Сорт высший. Из мозговых сортов. Стерилизованный. Зерна целые без примесей оболочек зерен и кормового гороха коричневого цвета. Вкус и запах натуральные, свойственные консервированному зеленому горошку, без постороннего запаха и/или привкуса. Цвет зерен зеленый, светло-зеленый или оливковый, однородный в единице фасовки. Заливочная жидкость прозрачная, характерного цвета с зеленоватым или оливковым оттенком. Упаковка не более 0,42 кг. Не допускается бомбаж – вздутие банок, покрытые ржавчиной банки, отсутствие этикетки, деформация.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330,12</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20</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Кукуруза консервированная</w:t>
            </w:r>
          </w:p>
        </w:tc>
        <w:tc>
          <w:tcPr>
            <w:tcW w:w="5474" w:type="dxa"/>
            <w:tcBorders>
              <w:left w:val="single" w:sz="4" w:space="0" w:color="000000"/>
              <w:bottom w:val="single" w:sz="4" w:space="0" w:color="000000"/>
              <w:right w:val="single" w:sz="4" w:space="0" w:color="000000"/>
            </w:tcBorders>
            <w:vAlign w:val="center"/>
          </w:tcPr>
          <w:p>
            <w:pPr>
              <w:pStyle w:val="Normal"/>
              <w:ind w:right="113"/>
              <w:rPr/>
            </w:pPr>
            <w:r>
              <w:rPr>
                <w:color w:val="000000"/>
                <w:sz w:val="16"/>
                <w:szCs w:val="16"/>
              </w:rPr>
              <w:t>Соответствие ГОСТ 34114-2017. ТР ТС 021/2011.</w:t>
            </w:r>
            <w:r>
              <w:rPr>
                <w:b/>
                <w:bCs/>
                <w:color w:val="000000"/>
                <w:sz w:val="16"/>
                <w:szCs w:val="16"/>
              </w:rPr>
              <w:t xml:space="preserve"> «</w:t>
            </w:r>
            <w:r>
              <w:rPr>
                <w:sz w:val="16"/>
                <w:szCs w:val="16"/>
              </w:rPr>
              <w:t>Кукуруза  сахарная в зернах», стерилизованная. Сорт не ниже: первого. Упаковка: металлическая банка с лаковым или эмалевым покрытием не более 0,4 кг. Срезанные целые зерна, с одинаковой глубиной срезки, без рваных зерен и зерен с тканью початка. Наличие механически  поврежденных зерен не более 20,0%. Вкус и запах свойственный вареной сахарной кукурузе в стадии молочной спелости, без постороннего привкуса и запаха. Цвет зерен белый, золотистый или желтый без наличия зерен более темного цвета, однородный в одной банке. Не допускаются пятнистые зерна. Консистенция мягкая, однородная, без чрезмерной плотности. Качество заливочной жидкости: молочного оттенка (с опалесценцией). Массовая доля зерен кукурузы от массы нетто консервов, указанной на этикетке не менее 60,0%. Массовая доля хлоридов 0,8-1,5%. Минеральные посторонние примеси не допускаются. Не допускается бомбаж – вздутие банок, покрытые ржавчиной банки, отсутствие этикетки деформация.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300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FFFF00" w:val="clear"/>
              </w:rPr>
            </w:pPr>
            <w:r>
              <w:rPr>
                <w:color w:val="000000"/>
                <w:sz w:val="24"/>
                <w:szCs w:val="24"/>
                <w:shd w:fill="FFFF00"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21</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Молоко сгущенное с сахаром</w:t>
            </w:r>
          </w:p>
        </w:tc>
        <w:tc>
          <w:tcPr>
            <w:tcW w:w="5474" w:type="dxa"/>
            <w:tcBorders>
              <w:left w:val="single" w:sz="4" w:space="0" w:color="000000"/>
              <w:bottom w:val="single" w:sz="4" w:space="0" w:color="000000"/>
              <w:right w:val="single" w:sz="4" w:space="0" w:color="000000"/>
            </w:tcBorders>
            <w:vAlign w:val="center"/>
          </w:tcPr>
          <w:p>
            <w:pPr>
              <w:pStyle w:val="Normal"/>
              <w:keepLines/>
              <w:rPr>
                <w:sz w:val="16"/>
                <w:szCs w:val="16"/>
              </w:rPr>
            </w:pPr>
            <w:r>
              <w:rPr>
                <w:sz w:val="16"/>
                <w:szCs w:val="16"/>
              </w:rPr>
              <w:t>Соответствие ГОСТ 31688-2012. ТР ТС 021/2011. Сгущенное с сахаром цельное молоко. Жировая фаза продукта должна содержать только молочный жир коровьего молока. Наличие консервантов в продукте не допускается. Массовая доля сухих веществ не менее 28,5%; Массовая доля жира не менее 8,5% Массовая доля влаги не более 26,5%. Массовая доля сахарозы % от 43,5-45,5 включительно. Вкус сладкий, чистый с выраженным вкусом и запахом пастеризованных молока. Консистенция однородная, вязкая по всей массе без наличия ощущаемых органолептически кристаллов молочного сахара (лактозы). Цвет белый с кремовым оттенком.</w:t>
            </w:r>
          </w:p>
          <w:p>
            <w:pPr>
              <w:pStyle w:val="Normal"/>
              <w:ind w:right="113"/>
              <w:rPr>
                <w:sz w:val="16"/>
                <w:szCs w:val="16"/>
              </w:rPr>
            </w:pPr>
            <w:r>
              <w:rPr>
                <w:sz w:val="16"/>
                <w:szCs w:val="16"/>
              </w:rPr>
              <w:t>Допускается мучнистая консистенция и незначительный осадок лактозы на дне упаковки при хранении. Не допускается бомбаж – вздутие банок, покрытые ржавчиной банки, отсутствие этикетки, деформация. Упаковка не более 0,380 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jc w:val="center"/>
              <w:rPr>
                <w:color w:val="auto"/>
              </w:rPr>
            </w:pPr>
            <w:r>
              <w:rPr>
                <w:color w:val="auto"/>
                <w:sz w:val="22"/>
                <w:szCs w:val="22"/>
              </w:rPr>
              <w:t>148,2</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22</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Молоко сгущенное с сахаром вареное</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33921-2016. ТР ТС 021/2011. Жировая фаза продукта должна содержать только молочный жир коровьего молока. Наличие консервантов в продукте не допускается. Массовая доля жира не менее 8,5% Массовая доля влаги не более 30,5%. Массовая доля сахарозы % от 43,5-46,0 включительно. Сгущенное молоко с сахаром, подвергнутое выдержке при высокотемпературной пастеризации или стерилизации в целях достижения им характерных органолептических свойств. Консистенция однородная по всей массе продукта. Цвет от светло- до темно-коричневого равномерный по всей массе. Вкус и запах чистый, сладкий, с карамельным привкусом. Не допускается бомбаж – вздутие банок, покрытые ржавчиной банки, отсутствие этикетки, деформация. Упаковка не более 0,380 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25,9</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23</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Молоко концентрированное стерилизованное</w:t>
            </w:r>
          </w:p>
        </w:tc>
        <w:tc>
          <w:tcPr>
            <w:tcW w:w="5474" w:type="dxa"/>
            <w:tcBorders>
              <w:left w:val="single" w:sz="4" w:space="0" w:color="000000"/>
              <w:bottom w:val="single" w:sz="4" w:space="0" w:color="000000"/>
              <w:right w:val="single" w:sz="4" w:space="0" w:color="000000"/>
            </w:tcBorders>
            <w:vAlign w:val="center"/>
          </w:tcPr>
          <w:p>
            <w:pPr>
              <w:pStyle w:val="Normal"/>
              <w:keepLines/>
              <w:rPr>
                <w:sz w:val="16"/>
                <w:szCs w:val="16"/>
              </w:rPr>
            </w:pPr>
            <w:r>
              <w:rPr>
                <w:sz w:val="16"/>
                <w:szCs w:val="16"/>
              </w:rPr>
              <w:t>Соответствие ГОСТ 34254-2017. ТР ТС 021/2011. В зависимости от массовой доли жира: цельный.</w:t>
            </w:r>
          </w:p>
          <w:p>
            <w:pPr>
              <w:pStyle w:val="Normal"/>
              <w:keepLines/>
              <w:rPr>
                <w:sz w:val="16"/>
                <w:szCs w:val="16"/>
              </w:rPr>
            </w:pPr>
            <w:r>
              <w:rPr>
                <w:sz w:val="16"/>
                <w:szCs w:val="16"/>
              </w:rPr>
              <w:t>Жировая фаза продукта должна содержать только молочный жир коровьего молока. Наличие консервантов в продукте не допускается. Массовая доля сухих веществ не менее 25,0%. Массовая доля жира не менее 7,5%. Консистенция однородная в меру вязкая жидкость. Допускается незначительный осадок на внутренней стороне упаковки.</w:t>
            </w:r>
          </w:p>
          <w:p>
            <w:pPr>
              <w:pStyle w:val="Normal"/>
              <w:keepLines/>
              <w:rPr>
                <w:sz w:val="16"/>
                <w:szCs w:val="16"/>
              </w:rPr>
            </w:pPr>
            <w:r>
              <w:rPr>
                <w:sz w:val="16"/>
                <w:szCs w:val="16"/>
              </w:rPr>
              <w:t>Цвет белый или белый со светло-кремовым оттенком, равномерный по всей массе. Вкус и запах: чистый с характерным сладковато-солоноватым привкусом, свойственным сгущенному молоку, подвергшемуся высокотемпературной пастеризации, или топленому молоку без посторонних привкусов и запахов.</w:t>
            </w:r>
          </w:p>
          <w:p>
            <w:pPr>
              <w:pStyle w:val="Normal"/>
              <w:keepLines/>
              <w:rPr>
                <w:sz w:val="16"/>
                <w:szCs w:val="16"/>
              </w:rPr>
            </w:pPr>
            <w:r>
              <w:rPr>
                <w:sz w:val="16"/>
                <w:szCs w:val="16"/>
              </w:rPr>
              <w:t>Наличие консервантов в продукте не допускается.</w:t>
            </w:r>
          </w:p>
          <w:p>
            <w:pPr>
              <w:pStyle w:val="Normal"/>
              <w:ind w:right="113"/>
              <w:rPr>
                <w:sz w:val="16"/>
                <w:szCs w:val="16"/>
              </w:rPr>
            </w:pPr>
            <w:r>
              <w:rPr>
                <w:sz w:val="16"/>
                <w:szCs w:val="16"/>
              </w:rPr>
              <w:t>Не допускается бомбаж – вздутие банок, покрытие ржавчиной, отсутствие этикетки, деформация. Масса упаковки не более 0,3 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jc w:val="center"/>
              <w:rPr>
                <w:color w:val="auto"/>
              </w:rPr>
            </w:pPr>
            <w:r>
              <w:rPr>
                <w:color w:val="auto"/>
                <w:sz w:val="22"/>
                <w:szCs w:val="22"/>
              </w:rPr>
              <w:t>27,0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24</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Мед натуральный</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19792-2017. ТР ТС 021/2011. Вид: цветочный, смешанный. Жидкий, частично или полностью закристаллизованный. Аромат приятный, от слабого до сильного, без постороннего запаха. Вкус сладкий, приятный, без постороннего привкуса. Механические примеси, признаки брожения не допускаются. Мед не должен содержать вещества, не свойственные его природному составу. Массовая доля сахарозы 5-15%. Массовая доля воды, %, не более 20. Без токсичных элементов, пестицидов, антибиотиков, ГМО, крахмала.</w:t>
            </w:r>
          </w:p>
          <w:p>
            <w:pPr>
              <w:pStyle w:val="Normal"/>
              <w:ind w:right="113"/>
              <w:jc w:val="both"/>
              <w:rPr>
                <w:b/>
                <w:bCs/>
                <w:color w:val="000000"/>
                <w:sz w:val="18"/>
                <w:szCs w:val="18"/>
              </w:rPr>
            </w:pPr>
            <w:r>
              <w:rPr>
                <w:sz w:val="18"/>
                <w:szCs w:val="18"/>
              </w:rPr>
              <w:t>Масса упаковки не более 0,02 кг. Упаковка без повреждений. Остаточный срок годности не менее 80%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14,4</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25</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Джем фруктовый</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31712-2012. ТР ТС 021/2011. Вид джема: в ассортименте.</w:t>
            </w:r>
          </w:p>
          <w:p>
            <w:pPr>
              <w:pStyle w:val="Normal"/>
              <w:ind w:right="113"/>
              <w:jc w:val="both"/>
              <w:rPr>
                <w:b/>
                <w:bCs/>
                <w:color w:val="000000"/>
                <w:sz w:val="18"/>
                <w:szCs w:val="18"/>
              </w:rPr>
            </w:pPr>
            <w:r>
              <w:rPr>
                <w:sz w:val="18"/>
                <w:szCs w:val="18"/>
              </w:rPr>
              <w:t>Стерилизованные консервы. Мажущаяся масса, обладающая желейной консистенцией с равномерно распределенными в ней фруктами или их частями. Не допускается засахаривание. Вкус и запах хорошо выраженные. Посторонний вкус и запах не допускается. Цвет свойственный фруктам из которого изготовлен джем. Массовая доля фруктовой части не менее 35-40%. Массовая доля растворимых сухих веществ не менее 60-68% Без консервантов, красителей, ГМО. Масса нетто не более 0,32 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64</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26</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Консервы фруктовые</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33317-2015. ТР ТС 021/2011. Стерилизованные. Без добавления пряностей. пищевых органических кислот. ТН ВЭД ЕАЭС 2008 20 710 0. Ананасы кусочками консервированные в сахарном сиропе. Содержание сахара не более 20%. В жестяных банках . без содержания спирта, не содержит ГМО. Стерилизованные.</w:t>
            </w:r>
          </w:p>
          <w:p>
            <w:pPr>
              <w:pStyle w:val="Normal"/>
              <w:ind w:right="113"/>
              <w:jc w:val="both"/>
              <w:rPr>
                <w:b/>
                <w:bCs/>
                <w:color w:val="000000"/>
                <w:sz w:val="18"/>
                <w:szCs w:val="18"/>
              </w:rPr>
            </w:pPr>
            <w:r>
              <w:rPr>
                <w:sz w:val="18"/>
                <w:szCs w:val="18"/>
              </w:rPr>
              <w:t>Консервы фруктовые однокомпонентные, залитые раствором сахара. Косточковые -целые без косточки или половинки. Семечковые – целые (для мелкоплодных) половинки, очищенные от семенного гнезда, с кожицей или без кожици. Тропические фрукты- кусочки, дольки, очищенные от кожици и внутренних пленок. Фрукты, равномерные по величине, без механических повреждений и червоточин, не разваренные, не треснувшие, хорошо сохранившие свою форму. Заливка прозрачная или слабооплесцирующая, без посторонних примесей. Фрукты- плотные, упругие, мясистые. МД фруктов от общей массы консервов не менее 50,0% МД растворимых сухих веществ в заливке не менее 5,0%. рН не более4,2. Посторонние примеси не допускаются. Цвет свойственный использованному виду и помологическому сорту фруктов, без пятен. Масса нетто не более 0,85 кг. Не допускается бомбаж – вздутие банок, покрытые ржавчиной банки, отсутствие этикетки, деформация.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64</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27</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Томатная паста</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3343-2017. ТР ТС 021/2011. Густая однородная концентрированная масса мажущейся консистенции, без темных включений, остатков кожицы, семян и других грубых частиц плодов. Цвет красный или малиново-</w:t>
            </w:r>
          </w:p>
          <w:p>
            <w:pPr>
              <w:pStyle w:val="Normal"/>
              <w:ind w:right="113"/>
              <w:jc w:val="both"/>
              <w:rPr>
                <w:b/>
                <w:bCs/>
                <w:color w:val="000000"/>
                <w:sz w:val="18"/>
                <w:szCs w:val="18"/>
              </w:rPr>
            </w:pPr>
            <w:r>
              <w:rPr>
                <w:sz w:val="18"/>
                <w:szCs w:val="18"/>
              </w:rPr>
              <w:t>красный, ярко выраженный, равномерный по всей массе. Вкус и запах ярко выраженные, свойственные зрелым томатам, прошедшим термическую обработку, без горечи и других посторонних привкуса и запаха. Содержание сухих веществ не менее 25-28%. Без консервантов и ГМО. Вес не более 0,270 кг. Не допускается бомбаж – вздутие банок, покрытые ржавчиной банки, негерметично закрытые, отсутствие этикетки, деформация.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pPr>
            <w:r>
              <w:rPr>
                <w:sz w:val="24"/>
                <w:szCs w:val="24"/>
              </w:rPr>
              <w:t>9,12</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28</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Какао-порошок</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108-2014. ТР ТС 021/2011. Порошок от светло-коричневого до темно-коричневого цвета, не допускается серый цвет. При растирании порошка между пальцами не должен давать ощущение крупинок. Массовая доли влаги не более 7,5%; Массовая доля жира от 12 до 20%. Массовая доля общей золы не более 6,0%. РН не более 7,1%.. Упаковка не более 0,1 кг. индивидуальная.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26</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29</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Кофейный напиток</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Р 50364-92 ТР ТС 021/2011. Вид: кофе молотый. Сырье: цикорий, ячмень, рожь. Злаки обжаренные. Без кофеина. Массовая доля влаги не более 4,5%. Массовая доля золы не более 3,5%.. Не допускается нарушение герметичности упаковки, затхлость, плесневелый запах. Упаковка не более 0,1 кг индивидуальная.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pPr>
            <w:r>
              <w:rPr>
                <w:sz w:val="24"/>
                <w:szCs w:val="24"/>
              </w:rPr>
              <w:t>28</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30</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Смесь сухая с витаминами «Витошка»</w:t>
            </w:r>
          </w:p>
        </w:tc>
        <w:tc>
          <w:tcPr>
            <w:tcW w:w="5474" w:type="dxa"/>
            <w:tcBorders>
              <w:left w:val="single" w:sz="4" w:space="0" w:color="000000"/>
              <w:bottom w:val="single" w:sz="4" w:space="0" w:color="000000"/>
              <w:right w:val="single" w:sz="4" w:space="0" w:color="000000"/>
            </w:tcBorders>
            <w:vAlign w:val="center"/>
          </w:tcPr>
          <w:p>
            <w:pPr>
              <w:pStyle w:val="Normal"/>
              <w:ind w:right="113"/>
              <w:jc w:val="both"/>
              <w:rPr>
                <w:b/>
                <w:bCs/>
                <w:color w:val="000000"/>
                <w:sz w:val="18"/>
                <w:szCs w:val="18"/>
              </w:rPr>
            </w:pPr>
            <w:r>
              <w:rPr>
                <w:sz w:val="18"/>
                <w:szCs w:val="18"/>
              </w:rPr>
              <w:t>ТР ТС 021/2011. ТУ/СТО производителя, соответствующая характеристикам:</w:t>
            </w:r>
          </w:p>
          <w:p>
            <w:pPr>
              <w:pStyle w:val="Normal"/>
              <w:ind w:right="113"/>
              <w:jc w:val="both"/>
              <w:rPr>
                <w:b/>
                <w:bCs/>
                <w:color w:val="000000"/>
                <w:sz w:val="18"/>
                <w:szCs w:val="18"/>
              </w:rPr>
            </w:pPr>
            <w:r>
              <w:rPr>
                <w:sz w:val="18"/>
                <w:szCs w:val="18"/>
              </w:rPr>
              <w:t>Смесь сухая витаминизированная для приготовления третьих блюд. Предназначена в качестве дополнительного источника витаминов для детей дошкольного и школьного возраста. В составе только натуральные красители и ароматизаторы. Вкус: в ассортименте. Содержание витамина «С» не менее 20,0мг на 200мл. Упаковка не более 1,0 кг. Не допускается нарушение герметичности упаковки.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40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31</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Сухари панировочные</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28402-89. ТР ТС 021/2011. Сырье: сухари хлебные из пшеничной муки высшего сорта. Крупность помола:1,2. Светлого цвета, без постороннего запаха, без примесей, однородной рассыпчатой консистенции. Упаковка не более 1,0 кг. Не допускается нарушение герметичности упаковки.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71</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FFFF00" w:val="clear"/>
              </w:rPr>
            </w:pPr>
            <w:r>
              <w:rPr>
                <w:color w:val="000000"/>
                <w:sz w:val="24"/>
                <w:szCs w:val="24"/>
                <w:shd w:fill="FFFF00"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32</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Зелень сушеная – укроп</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32065-2013. ТР ТС 021/2011. В виде порошка, нарезанный, россыпью. Не допускается огрубевших стеблей укропа. Массовая доля влаги не более 14%. Упаковка не более 0,015 кг. Не допускается нарушение герметичности упаковки.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pPr>
            <w:r>
              <w:rPr>
                <w:sz w:val="24"/>
                <w:szCs w:val="24"/>
              </w:rPr>
              <w:t>1,98</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33</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Приправа универсальная</w:t>
            </w:r>
          </w:p>
        </w:tc>
        <w:tc>
          <w:tcPr>
            <w:tcW w:w="5474" w:type="dxa"/>
            <w:tcBorders>
              <w:left w:val="single" w:sz="4" w:space="0" w:color="000000"/>
              <w:bottom w:val="single" w:sz="4" w:space="0" w:color="000000"/>
              <w:right w:val="single" w:sz="4" w:space="0" w:color="000000"/>
            </w:tcBorders>
            <w:vAlign w:val="center"/>
          </w:tcPr>
          <w:p>
            <w:pPr>
              <w:pStyle w:val="Normal"/>
              <w:ind w:right="113"/>
              <w:jc w:val="both"/>
              <w:rPr>
                <w:b/>
                <w:bCs/>
                <w:color w:val="000000"/>
                <w:sz w:val="18"/>
                <w:szCs w:val="18"/>
              </w:rPr>
            </w:pPr>
            <w:r>
              <w:rPr>
                <w:sz w:val="18"/>
                <w:szCs w:val="18"/>
              </w:rPr>
              <w:t>ТР ТС 021/2011. ТУ/СТО производителя, соответствующая характеристикам:</w:t>
            </w:r>
          </w:p>
          <w:p>
            <w:pPr>
              <w:pStyle w:val="Normal"/>
              <w:ind w:right="113"/>
              <w:jc w:val="both"/>
              <w:rPr>
                <w:b/>
                <w:bCs/>
                <w:color w:val="000000"/>
                <w:sz w:val="18"/>
                <w:szCs w:val="18"/>
              </w:rPr>
            </w:pPr>
            <w:r>
              <w:rPr>
                <w:sz w:val="18"/>
                <w:szCs w:val="18"/>
              </w:rPr>
              <w:t>Приправа универсальная овощная (для первых. вторых блюд). Без ГМО, Е102(тартразин), Е621(глутамат натрия). Не содержит красителей, которые могут оказывать отрицательное влияние на активность и внимание детей. Без острых специй. Упаковка не более 0,2 кг. Не допускается нарушение герметичности упаковки.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25</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34</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Ванилин</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16599-71. ТР ТС 021/2011. Ваниль обработанная. Кристаллический порошок белого цвета. Массовая доля ванилина не менее 99%. Массовая доля золы не более 0,05%. Упаковка 0,001 кг. Не допускается нарушение герметичности упаковки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0,15</w:t>
            </w:r>
          </w:p>
        </w:tc>
        <w:tc>
          <w:tcPr>
            <w:tcW w:w="908" w:type="dxa"/>
            <w:tcBorders>
              <w:left w:val="single" w:sz="4" w:space="0" w:color="000000"/>
              <w:bottom w:val="single" w:sz="4" w:space="0" w:color="000000"/>
              <w:right w:val="single" w:sz="4" w:space="0" w:color="000000"/>
            </w:tcBorders>
            <w:vAlign w:val="center"/>
          </w:tcPr>
          <w:p>
            <w:pPr>
              <w:pStyle w:val="Normal"/>
              <w:keepNext w:val="true"/>
              <w:widowControl/>
              <w:suppressAutoHyphens w:val="true"/>
              <w:bidi w:val="0"/>
              <w:ind w:hanging="340" w:left="57" w:right="-113"/>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35</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Огурцы консервированные</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31713-2012. ТР ТС 021/2011. Огурцы, консервированные без уксуса (лимонная кислота). Массовая доля огурцов от массы нетто не менее 50%. Массовая доля хлоридов не более 2,5-3,5%. Массовая доля титрируемых кислот от 0,6-1,2. с зеленью в заливке. Плоды должны быть цельными, без плодоножек и остатков цветков, чистые не сморщенные не мятые, без механических и прочих повреждений. Плоды должны быть плотно уложены в банке, не допускается наличие пустот.</w:t>
            </w:r>
          </w:p>
          <w:p>
            <w:pPr>
              <w:pStyle w:val="Normal"/>
              <w:keepNext w:val="true"/>
              <w:keepLines/>
              <w:jc w:val="both"/>
              <w:rPr>
                <w:sz w:val="18"/>
                <w:szCs w:val="18"/>
              </w:rPr>
            </w:pPr>
            <w:r>
              <w:rPr>
                <w:sz w:val="18"/>
                <w:szCs w:val="18"/>
              </w:rPr>
              <w:t>Заливка должна быть практически прозрачной с желтоватым оттенком, с частицами пряностей. Вкус продукта должен быть слабокислый, умеренно соленный, запах приятный с ароматом пряностей, без постороннего привкуса и запаха.</w:t>
            </w:r>
          </w:p>
          <w:p>
            <w:pPr>
              <w:pStyle w:val="Normal"/>
              <w:keepNext w:val="true"/>
              <w:keepLines/>
              <w:jc w:val="both"/>
              <w:rPr>
                <w:sz w:val="18"/>
                <w:szCs w:val="18"/>
              </w:rPr>
            </w:pPr>
            <w:r>
              <w:rPr>
                <w:sz w:val="18"/>
                <w:szCs w:val="18"/>
              </w:rPr>
              <w:t>Цвет – оливково-зеленые или оливковые без пятен и ожогов.</w:t>
            </w:r>
          </w:p>
          <w:p>
            <w:pPr>
              <w:pStyle w:val="Normal"/>
              <w:keepNext w:val="true"/>
              <w:keepLines/>
              <w:jc w:val="both"/>
              <w:rPr>
                <w:sz w:val="18"/>
                <w:szCs w:val="18"/>
              </w:rPr>
            </w:pPr>
            <w:r>
              <w:rPr>
                <w:sz w:val="18"/>
                <w:szCs w:val="18"/>
              </w:rPr>
              <w:t>Консистенция – крепкие, упругие без пустот, с плотной хрустящей мякотью, с недоразвитыми семенами.</w:t>
            </w:r>
          </w:p>
          <w:p>
            <w:pPr>
              <w:pStyle w:val="Normal"/>
              <w:ind w:right="113"/>
              <w:jc w:val="both"/>
              <w:rPr>
                <w:bCs/>
                <w:color w:val="000000"/>
              </w:rPr>
            </w:pPr>
            <w:r>
              <w:rPr>
                <w:sz w:val="18"/>
                <w:szCs w:val="18"/>
              </w:rPr>
              <w:t>Упаковка – стеклянная банка. Стеклянные банки должны быть без трещин и сколов с плотно прилегающей крышкой. Упаковка не более 0,72 л.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pPr>
            <w:r>
              <w:rPr>
                <w:sz w:val="24"/>
                <w:szCs w:val="24"/>
              </w:rPr>
              <w:t>201,6</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36</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Капуста квашеная</w:t>
            </w:r>
          </w:p>
        </w:tc>
        <w:tc>
          <w:tcPr>
            <w:tcW w:w="5474" w:type="dxa"/>
            <w:tcBorders>
              <w:left w:val="single" w:sz="4" w:space="0" w:color="000000"/>
              <w:bottom w:val="single" w:sz="4" w:space="0" w:color="000000"/>
              <w:right w:val="single" w:sz="4" w:space="0" w:color="000000"/>
            </w:tcBorders>
            <w:vAlign w:val="center"/>
          </w:tcPr>
          <w:p>
            <w:pPr>
              <w:pStyle w:val="Normal"/>
              <w:ind w:right="113"/>
              <w:jc w:val="both"/>
              <w:rPr>
                <w:sz w:val="18"/>
                <w:szCs w:val="18"/>
              </w:rPr>
            </w:pPr>
            <w:r>
              <w:rPr>
                <w:sz w:val="18"/>
                <w:szCs w:val="18"/>
              </w:rPr>
              <w:t>Соответствие ГОСТ 34220-2017. ТР ТС 021/2011. ТУ/СТО производителя, соответствующая характеристикам:</w:t>
            </w:r>
          </w:p>
          <w:p>
            <w:pPr>
              <w:pStyle w:val="Normal"/>
              <w:ind w:right="113"/>
              <w:jc w:val="both"/>
              <w:rPr>
                <w:sz w:val="18"/>
                <w:szCs w:val="18"/>
              </w:rPr>
            </w:pPr>
            <w:r>
              <w:rPr>
                <w:sz w:val="18"/>
                <w:szCs w:val="18"/>
              </w:rPr>
              <w:t>Вид: капуста квашеная. По способу приготовления: шинкованная. Добавочные компоненты: морковь, в ассортименте. Массовая доля капусты от массы нетто не менее 88,0% Массовая доля хлоридов в рассоле 1,2-2,0%. Массовая доля титруемых кислот в рассоле 0,7-1,5%.</w:t>
            </w:r>
          </w:p>
          <w:p>
            <w:pPr>
              <w:pStyle w:val="Normal"/>
              <w:ind w:right="113"/>
              <w:jc w:val="both"/>
              <w:rPr>
                <w:b/>
                <w:bCs/>
                <w:color w:val="000000"/>
                <w:sz w:val="18"/>
                <w:szCs w:val="18"/>
              </w:rPr>
            </w:pPr>
            <w:r>
              <w:rPr>
                <w:sz w:val="18"/>
                <w:szCs w:val="18"/>
              </w:rPr>
              <w:t>Запах ароматный, характерный для квашеной капусты. В капусте с приправами и пряностями ясно ощущается аромат добавленных пряностей. Сок обладает ароматом капусты. Упаковка из полимерных материалов (ведра). Упаковка не более 0,9 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200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37</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Сок для детского питания яблочный</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32103-2013. Соответствие ГОСТ 32920-2022. ТР ТС 021/2011. ТУ/СТО производителя, соответствующая характеристикам:</w:t>
            </w:r>
          </w:p>
          <w:p>
            <w:pPr>
              <w:pStyle w:val="Normal"/>
              <w:jc w:val="both"/>
              <w:rPr>
                <w:sz w:val="18"/>
                <w:szCs w:val="18"/>
              </w:rPr>
            </w:pPr>
            <w:r>
              <w:rPr>
                <w:sz w:val="18"/>
                <w:szCs w:val="18"/>
              </w:rPr>
              <w:t>Для детского питания. Сок яблочный восстановленный, стерилизованный с добавлением сахара природного происхождения. Не допускаются ароматизаторы, красители подкрашивающие экстракты, подсластители, концентрированный диффузный сок, без ГМО. Содержание 5-оксиметилфурфурола не более 10мг/дм3. Однородная непрозрачная жидкость с тонкоизмельченной мякотью или без нее. Не допускаются посторонние привкус и запах.</w:t>
            </w:r>
          </w:p>
          <w:p>
            <w:pPr>
              <w:pStyle w:val="Normal"/>
              <w:keepNext w:val="true"/>
              <w:keepLines/>
              <w:jc w:val="both"/>
              <w:rPr>
                <w:sz w:val="18"/>
                <w:szCs w:val="18"/>
              </w:rPr>
            </w:pPr>
            <w:r>
              <w:rPr>
                <w:sz w:val="18"/>
                <w:szCs w:val="18"/>
              </w:rPr>
              <w:t>Масса упаковки 0,2 литра, в индивидуальной упаковке - тетрапак, с прикрепленной одноразовой трубочкой.   Не допускается нарушение герметичности упаковки</w:t>
            </w:r>
          </w:p>
          <w:p>
            <w:pPr>
              <w:pStyle w:val="Normal"/>
              <w:keepNext w:val="true"/>
              <w:keepLines/>
              <w:jc w:val="both"/>
              <w:rPr>
                <w:sz w:val="18"/>
                <w:szCs w:val="18"/>
              </w:rPr>
            </w:pPr>
            <w:r>
              <w:rPr>
                <w:sz w:val="18"/>
                <w:szCs w:val="18"/>
              </w:rPr>
              <w:t>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л</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810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38</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Сок для детского питания яблочно-виноградный</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32103-2013. Соответствие ГОСТ 32920-2022. ТР ТС 021/2011. ТУ/СТО производителя, соответствующая характеристикам:</w:t>
            </w:r>
          </w:p>
          <w:p>
            <w:pPr>
              <w:pStyle w:val="Normal"/>
              <w:jc w:val="both"/>
              <w:rPr>
                <w:sz w:val="18"/>
                <w:szCs w:val="18"/>
              </w:rPr>
            </w:pPr>
            <w:r>
              <w:rPr>
                <w:sz w:val="18"/>
                <w:szCs w:val="18"/>
              </w:rPr>
              <w:t>Для детского питания. Сок яблочно-виноградный осветленный, без мякоти, с добавлением сахара природного происхождения. Стерилизованный. Не допускаются ароматизаторы, красители подкрашивающие экстракты, подсластители, концентрированный диффузный сок, без ГМО. Содержание 5-оксиметилфурфурола не более 10мг/дм3. Стабильная жидкость в процессе хранения. Не допускается наличие винного камня.  Не допускаются посторонние привкус и запах.</w:t>
            </w:r>
          </w:p>
          <w:p>
            <w:pPr>
              <w:pStyle w:val="Normal"/>
              <w:keepNext w:val="true"/>
              <w:keepLines/>
              <w:jc w:val="both"/>
              <w:rPr>
                <w:sz w:val="18"/>
                <w:szCs w:val="18"/>
              </w:rPr>
            </w:pPr>
            <w:r>
              <w:rPr>
                <w:sz w:val="18"/>
                <w:szCs w:val="18"/>
              </w:rPr>
              <w:t>Масса упаковки 0,2 литра, в индивидуальной упаковке - тетрапак, с прикрепленной одноразовой трубочкой.  Не допускается нарушение герметичности упаковки</w:t>
            </w:r>
          </w:p>
          <w:p>
            <w:pPr>
              <w:pStyle w:val="Normal"/>
              <w:ind w:right="113"/>
              <w:jc w:val="both"/>
              <w:rPr>
                <w:b/>
                <w:bCs/>
                <w:color w:val="000000"/>
                <w:sz w:val="18"/>
                <w:szCs w:val="18"/>
              </w:rPr>
            </w:pPr>
            <w:r>
              <w:rPr>
                <w:sz w:val="18"/>
                <w:szCs w:val="18"/>
              </w:rPr>
              <w:t>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л</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810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39</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Сок для детского питания томатный</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32876-2014. ГОСТ 32920-2022. ТР ТС 021/2011. ТУ/СТО производителя, соответствующая характеристикам:</w:t>
            </w:r>
          </w:p>
          <w:p>
            <w:pPr>
              <w:pStyle w:val="Normal"/>
              <w:jc w:val="both"/>
              <w:rPr>
                <w:sz w:val="18"/>
                <w:szCs w:val="18"/>
              </w:rPr>
            </w:pPr>
            <w:r>
              <w:rPr>
                <w:sz w:val="18"/>
                <w:szCs w:val="18"/>
              </w:rPr>
              <w:t>Для детского питания.</w:t>
            </w:r>
          </w:p>
          <w:p>
            <w:pPr>
              <w:pStyle w:val="Normal"/>
              <w:ind w:right="113"/>
              <w:jc w:val="both"/>
              <w:rPr>
                <w:b/>
                <w:bCs/>
                <w:color w:val="000000"/>
                <w:sz w:val="18"/>
                <w:szCs w:val="18"/>
              </w:rPr>
            </w:pPr>
            <w:r>
              <w:rPr>
                <w:sz w:val="18"/>
                <w:szCs w:val="18"/>
              </w:rPr>
              <w:t>Сок томатный восстановленный с мякотью. Стерилизованный. Однородная жидкость с равномерно распределенной тонкоизмельченной мякотью. Массовая доля хлоридов не более 0,6%. Содержание сухих веществ не менее 8,0%. Массовая доля титруемых кислот не более 1,3%. Массовая доля этилового спирта не более 0,2%. Без добавления соли. Допускается добавление: лимонной кислоты не более 3г/дм3; сахара не более 1,5%.  Масса упаковки 0,2 литра, в индивидуальной упаковке - тетрапак, с прикрепленной одноразовой трубочкой. Не допускается нарушение герметичности упаковки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л</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172,8</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40</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Сок для детского питания мультифруктовый</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32103-2013. Соответствие ГОСТ 32920-2022. ТР ТС 021/2011. ТУ/СТО производителя, соответствующая характеристикам:</w:t>
            </w:r>
          </w:p>
          <w:p>
            <w:pPr>
              <w:pStyle w:val="Normal"/>
              <w:jc w:val="both"/>
              <w:rPr>
                <w:sz w:val="18"/>
                <w:szCs w:val="18"/>
              </w:rPr>
            </w:pPr>
            <w:r>
              <w:rPr>
                <w:sz w:val="18"/>
                <w:szCs w:val="18"/>
              </w:rPr>
              <w:t>Для детского питания. Сок мультифруктовый восстановленный с мякотью, с добавлением сахара природного происхождения, Не допускаются ароматизаторы, красители подкрашивающие экстракты, подсластители, концентрированный диффузный сок, без ГМО. Содержание 5-оксиметилфурфурола не более 10мг/дм3.  Однородная непрозрачная жидкость с тонкоизмельченной мякотью или без нее.   Не допускаются посторонние привкус и запах.</w:t>
            </w:r>
          </w:p>
          <w:p>
            <w:pPr>
              <w:pStyle w:val="Normal"/>
              <w:keepNext w:val="true"/>
              <w:keepLines/>
              <w:jc w:val="both"/>
              <w:rPr>
                <w:sz w:val="18"/>
                <w:szCs w:val="18"/>
              </w:rPr>
            </w:pPr>
            <w:r>
              <w:rPr>
                <w:sz w:val="18"/>
                <w:szCs w:val="18"/>
              </w:rPr>
              <w:t>Масса упаковки 0,2 литра, в индивидуальной упаковке - тетрапак, с прикрепленной одноразовой трубочкой.  Не допускается нарушение герметичности упаковки</w:t>
            </w:r>
          </w:p>
          <w:p>
            <w:pPr>
              <w:pStyle w:val="Normal"/>
              <w:ind w:right="113"/>
              <w:jc w:val="both"/>
              <w:rPr>
                <w:b/>
                <w:bCs/>
                <w:color w:val="000000"/>
                <w:sz w:val="18"/>
                <w:szCs w:val="18"/>
              </w:rPr>
            </w:pPr>
            <w:r>
              <w:rPr>
                <w:sz w:val="18"/>
                <w:szCs w:val="18"/>
              </w:rPr>
              <w:t>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л</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810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41</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Чай черный листовой</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32573-2013. Внешний вид: листовой (однородный, ровный, хорошо скручен). Размер: №1 крупный. Массовая доля влаги не более 10%; общее содержание золы не более 8%; содержание грубых волокон не более 19%Внешний вид настоя чая яркий, прозрачный. Аромат и вкус настоя чая: нежный аромат, терпкий вкус. Цвет разваренного чайного листа чая: однородный, коричнево-красный или коричневый. Продукт соответствует требованиям ТР ТС 021/2011 «О безопасности пищевой продукции» Не допускается наличие плесени, посторонних примесей. Упаковка не более 0,100 кг., индивидуальная. Не допускается нарушение герметичности упаковки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15</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42</w:t>
            </w:r>
          </w:p>
        </w:tc>
        <w:tc>
          <w:tcPr>
            <w:tcW w:w="1740" w:type="dxa"/>
            <w:tcBorders>
              <w:left w:val="single" w:sz="4" w:space="0" w:color="000000"/>
              <w:bottom w:val="single" w:sz="4" w:space="0" w:color="000000"/>
              <w:right w:val="single" w:sz="4" w:space="0" w:color="000000"/>
            </w:tcBorders>
            <w:vAlign w:val="center"/>
          </w:tcPr>
          <w:p>
            <w:pPr>
              <w:pStyle w:val="Normal"/>
              <w:rPr>
                <w:sz w:val="18"/>
                <w:szCs w:val="18"/>
              </w:rPr>
            </w:pPr>
            <w:r>
              <w:rPr>
                <w:sz w:val="18"/>
                <w:szCs w:val="18"/>
              </w:rPr>
              <w:t>Масло растительное рафинированное</w:t>
            </w:r>
          </w:p>
        </w:tc>
        <w:tc>
          <w:tcPr>
            <w:tcW w:w="5474" w:type="dxa"/>
            <w:tcBorders>
              <w:left w:val="single" w:sz="4" w:space="0" w:color="000000"/>
              <w:bottom w:val="single" w:sz="4" w:space="0" w:color="000000"/>
              <w:right w:val="single" w:sz="4" w:space="0" w:color="000000"/>
            </w:tcBorders>
            <w:vAlign w:val="center"/>
          </w:tcPr>
          <w:p>
            <w:pPr>
              <w:pStyle w:val="Normal"/>
              <w:ind w:right="113"/>
              <w:rPr>
                <w:sz w:val="16"/>
                <w:szCs w:val="16"/>
              </w:rPr>
            </w:pPr>
            <w:r>
              <w:rPr>
                <w:sz w:val="16"/>
                <w:szCs w:val="16"/>
              </w:rPr>
              <w:t>Соответствие ГОСТ 1129-2013 ТР ТС 021/2011. Масло подсолнечное рафинированное дезодорированное. Марка не ниже: «Высший сорт». Перекисное число не более 2 ммоль активного кислорода/кг жира. Массовая доля неомыляемых веществ не более 1,0% Масло подсолнечное рафинированное обезличенного вкуса и запаха, прозрачное без осадка. Упаковка (полимерный материал) без видимых повреждений. Упаковка не более 0,92 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234,6</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43</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Лавровый лист</w:t>
            </w:r>
          </w:p>
        </w:tc>
        <w:tc>
          <w:tcPr>
            <w:tcW w:w="5474" w:type="dxa"/>
            <w:tcBorders>
              <w:left w:val="single" w:sz="4" w:space="0" w:color="000000"/>
              <w:bottom w:val="single" w:sz="4" w:space="0" w:color="000000"/>
              <w:right w:val="single" w:sz="4" w:space="0" w:color="000000"/>
            </w:tcBorders>
            <w:vAlign w:val="center"/>
          </w:tcPr>
          <w:p>
            <w:pPr>
              <w:pStyle w:val="Normal"/>
              <w:keepLines/>
              <w:rPr>
                <w:sz w:val="16"/>
                <w:szCs w:val="16"/>
              </w:rPr>
            </w:pPr>
            <w:r>
              <w:rPr>
                <w:sz w:val="16"/>
                <w:szCs w:val="16"/>
              </w:rPr>
              <w:t>Соответствие ГОСТ 17954-81. ТР ТС 021/2011.</w:t>
            </w:r>
          </w:p>
          <w:p>
            <w:pPr>
              <w:pStyle w:val="Normal"/>
              <w:ind w:right="113"/>
              <w:rPr>
                <w:sz w:val="16"/>
                <w:szCs w:val="16"/>
              </w:rPr>
            </w:pPr>
            <w:r>
              <w:rPr>
                <w:sz w:val="16"/>
                <w:szCs w:val="16"/>
              </w:rPr>
              <w:t>Листья здоровые, не поврежденные вредителями и болезнями, по форме продолговатые, ланцетовидные, овальные, по окраске зеленые, сероватые с серебристым оттенком. Запах и вкус хорошо выраженные, свойственные лавровому листу, без постороннего запаха и привкуса. Длина лис та не менее 3см. Влажность листа не более 12%. Упаковка не более 0,01кг.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0,38</w:t>
            </w:r>
          </w:p>
        </w:tc>
        <w:tc>
          <w:tcPr>
            <w:tcW w:w="908" w:type="dxa"/>
            <w:tcBorders>
              <w:left w:val="single" w:sz="4" w:space="0" w:color="000000"/>
              <w:bottom w:val="single" w:sz="4" w:space="0" w:color="000000"/>
              <w:right w:val="single" w:sz="4" w:space="0" w:color="000000"/>
            </w:tcBorders>
            <w:vAlign w:val="center"/>
          </w:tcPr>
          <w:p>
            <w:pPr>
              <w:pStyle w:val="Normal"/>
              <w:widowControl/>
              <w:suppressAutoHyphens w:val="true"/>
              <w:bidi w:val="0"/>
              <w:ind w:hanging="283" w:left="113" w:right="0"/>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44</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Варенье ягодное</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Соответствие ГОСТ 34113-2017. ГОСТ 34447-20118  ТР ТС 021/2011. ТУ/СТО производителя, соответствующая характеристикам:</w:t>
            </w:r>
          </w:p>
          <w:p>
            <w:pPr>
              <w:pStyle w:val="Normal"/>
              <w:ind w:right="113"/>
              <w:jc w:val="both"/>
              <w:rPr>
                <w:b/>
                <w:bCs/>
                <w:color w:val="000000"/>
                <w:sz w:val="18"/>
                <w:szCs w:val="18"/>
              </w:rPr>
            </w:pPr>
            <w:r>
              <w:rPr>
                <w:sz w:val="18"/>
                <w:szCs w:val="18"/>
              </w:rPr>
              <w:t>Варенье ягодное, фруктовое стерилизованное. Изготовлено из свежего сырья. Варенье может быть обогащенным – с добавлением аскорбиновой кислоты (витамина С). Уваренные, равномерно распределенные в густом сахарном сиропе нарезанные фрукты однородные по степени зрелости и величине, сохранившие свою форму, не разваренные, не сморщенные. Косточковые плоды- сегменты без косточек, очищенные от кожуры.  Ягоды- целые, без чашелистиков, плодоножек и гребней. Не допускается наличие дробленых косточек, наличие кристаллов винного камня, засахаривание варенья. Вкус и запах приятные, свойственные использованному сырью, прошедшему тепловую обработку. Не допускаются посторонние привкус и запах. Цвет однородный, соответствующий цвету фруктов или ягод, прошедших тепловую обработку. Без консервантов, ГМО. Массова доля фруктовой(ягодной) части варенья не менее35-40%. Массовая доля растворимых сухих веществ в варенье не менее 63%. Упаковка(стекло) не более 0,32 кг. Стеклянные банки должны быть без трещин и сколов с плотно прилегающей крышкой.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pPr>
            <w:r>
              <w:rPr>
                <w:sz w:val="24"/>
                <w:szCs w:val="24"/>
              </w:rPr>
              <w:t>23,04</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shd w:fill="auto" w:val="clear"/>
              </w:rPr>
            </w:pPr>
            <w:r>
              <w:rPr>
                <w:color w:val="000000"/>
                <w:sz w:val="24"/>
                <w:szCs w:val="24"/>
                <w:shd w:fill="auto" w:val="clear"/>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45</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Соль поваренная пищевая</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b w:val="false"/>
                <w:bCs w:val="false"/>
                <w:color w:val="000000"/>
                <w:sz w:val="18"/>
                <w:szCs w:val="18"/>
              </w:rPr>
              <w:t xml:space="preserve">Соответствие ГОСТ Р 51575-2000, СТ РК ГОСТ Р 51574-2003, ГОСТ Р 51574-2018. </w:t>
            </w:r>
            <w:r>
              <w:rPr>
                <w:sz w:val="18"/>
                <w:szCs w:val="18"/>
              </w:rPr>
              <w:t>ТР ТС 021/2011.</w:t>
            </w:r>
          </w:p>
          <w:p>
            <w:pPr>
              <w:pStyle w:val="Normal"/>
              <w:jc w:val="both"/>
              <w:rPr>
                <w:sz w:val="18"/>
                <w:szCs w:val="18"/>
              </w:rPr>
            </w:pPr>
            <w:r>
              <w:rPr>
                <w:sz w:val="18"/>
                <w:szCs w:val="18"/>
              </w:rPr>
              <w:t>Каменная соль, молотая высшего сорта, помол №1.</w:t>
            </w:r>
          </w:p>
          <w:p>
            <w:pPr>
              <w:pStyle w:val="Normal"/>
              <w:ind w:right="113"/>
              <w:jc w:val="both"/>
              <w:rPr>
                <w:b/>
                <w:bCs/>
                <w:color w:val="000000"/>
                <w:sz w:val="18"/>
                <w:szCs w:val="18"/>
              </w:rPr>
            </w:pPr>
            <w:r>
              <w:rPr>
                <w:sz w:val="18"/>
                <w:szCs w:val="18"/>
              </w:rPr>
              <w:t>Кристаллический сыпучий продукт. Не допускается наличие посторонних механических примесей, не связанных с происхождением и способом производства соли. Цвет – белый. Без посторонних запахов. Упаковка не более 1,0кг.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jc w:val="center"/>
              <w:rPr>
                <w:color w:val="auto"/>
              </w:rPr>
            </w:pPr>
            <w:r>
              <w:rPr>
                <w:color w:val="auto"/>
                <w:sz w:val="22"/>
                <w:szCs w:val="22"/>
              </w:rPr>
              <w:t>96,0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46</w:t>
            </w:r>
          </w:p>
        </w:tc>
        <w:tc>
          <w:tcPr>
            <w:tcW w:w="1740" w:type="dxa"/>
            <w:tcBorders>
              <w:left w:val="single" w:sz="4" w:space="0" w:color="000000"/>
              <w:bottom w:val="single" w:sz="4" w:space="0" w:color="000000"/>
              <w:right w:val="single" w:sz="4" w:space="0" w:color="000000"/>
            </w:tcBorders>
            <w:vAlign w:val="center"/>
          </w:tcPr>
          <w:p>
            <w:pPr>
              <w:pStyle w:val="Normal"/>
              <w:rPr>
                <w:color w:val="000000"/>
                <w:sz w:val="18"/>
                <w:szCs w:val="18"/>
              </w:rPr>
            </w:pPr>
            <w:r>
              <w:rPr>
                <w:color w:val="000000"/>
                <w:sz w:val="18"/>
                <w:szCs w:val="18"/>
              </w:rPr>
              <w:t>Сыр полутвердых сортов</w:t>
            </w:r>
          </w:p>
        </w:tc>
        <w:tc>
          <w:tcPr>
            <w:tcW w:w="5474" w:type="dxa"/>
            <w:tcBorders>
              <w:left w:val="single" w:sz="4" w:space="0" w:color="000000"/>
              <w:bottom w:val="single" w:sz="4" w:space="0" w:color="000000"/>
              <w:right w:val="single" w:sz="4" w:space="0" w:color="000000"/>
            </w:tcBorders>
            <w:vAlign w:val="center"/>
          </w:tcPr>
          <w:p>
            <w:pPr>
              <w:pStyle w:val="Normal"/>
              <w:ind w:right="113"/>
              <w:jc w:val="both"/>
              <w:rPr>
                <w:b/>
                <w:bCs/>
                <w:color w:val="000000"/>
                <w:sz w:val="18"/>
                <w:szCs w:val="18"/>
              </w:rPr>
            </w:pPr>
            <w:r>
              <w:rPr>
                <w:sz w:val="18"/>
                <w:szCs w:val="18"/>
              </w:rPr>
              <w:t>Соответствие ГОСТ 32260-2013. ТР ТС 021/2011, ТР ТС 033/2013. ТУ/СТО производителя. Жировая фаза жира должна содержать только молочный жир коровьего молока. Форма сыра: прямоугольный брусок. Вид сыра: цельный. Вид сырья: коровье молоко. Сорт: высший. Наименование сыра: в ассортименте. Внешний вид: корочка прочная, ровная без повреждений и толстого подкоркового слоя, покрытая парафиновыми, полимерными, комбинированными составами или полимерными материалами. Вкус выраженный сырный. Цвет от белого до светло-желтого, равномерный по всей массе. Массовая доля жира не менее 45,0%, влаги не более 44,0%. Только допустимые пищевые добавки. Не допускаются сыры с прогорклым, гнилостным и резко выраженным осаленным, плесневелым вкусом и запахом, запахом нефтепродуктов и химикатов, с нарушением герметичности полимерных материалов, с развитием на поверхности сыра плесени и других микроорганизмов. Упаковка до 2,0кг. Транспортировка при температуре не выше 8С.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jc w:val="center"/>
              <w:rPr>
                <w:color w:val="auto"/>
              </w:rPr>
            </w:pPr>
            <w:r>
              <w:rPr>
                <w:color w:val="auto"/>
                <w:sz w:val="22"/>
                <w:szCs w:val="22"/>
              </w:rPr>
              <w:t>210,0</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ind w:left="-113" w:right="0"/>
              <w:rPr>
                <w:bCs/>
                <w:sz w:val="18"/>
                <w:szCs w:val="18"/>
              </w:rPr>
            </w:pPr>
            <w:r>
              <w:rPr>
                <w:bCs/>
                <w:sz w:val="18"/>
                <w:szCs w:val="18"/>
              </w:rPr>
              <w:t>47</w:t>
            </w:r>
          </w:p>
        </w:tc>
        <w:tc>
          <w:tcPr>
            <w:tcW w:w="1740" w:type="dxa"/>
            <w:tcBorders>
              <w:left w:val="single" w:sz="4" w:space="0" w:color="000000"/>
              <w:bottom w:val="single" w:sz="4" w:space="0" w:color="000000"/>
              <w:right w:val="single" w:sz="4" w:space="0" w:color="000000"/>
            </w:tcBorders>
            <w:vAlign w:val="center"/>
          </w:tcPr>
          <w:p>
            <w:pPr>
              <w:pStyle w:val="Normal"/>
              <w:jc w:val="center"/>
              <w:rPr>
                <w:color w:val="C9211E"/>
              </w:rPr>
            </w:pPr>
            <w:r>
              <w:rPr>
                <w:color w:val="000000"/>
                <w:sz w:val="24"/>
                <w:szCs w:val="24"/>
              </w:rPr>
              <w:t>Томаты в томатной заливке</w:t>
            </w:r>
          </w:p>
        </w:tc>
        <w:tc>
          <w:tcPr>
            <w:tcW w:w="5474" w:type="dxa"/>
            <w:tcBorders>
              <w:left w:val="single" w:sz="4" w:space="0" w:color="000000"/>
              <w:bottom w:val="single" w:sz="4" w:space="0" w:color="000000"/>
              <w:right w:val="single" w:sz="4" w:space="0" w:color="000000"/>
            </w:tcBorders>
            <w:vAlign w:val="center"/>
          </w:tcPr>
          <w:p>
            <w:pPr>
              <w:pStyle w:val="Normal"/>
              <w:ind w:right="113"/>
              <w:jc w:val="both"/>
              <w:rPr>
                <w:b/>
                <w:bCs/>
                <w:color w:val="000000"/>
                <w:sz w:val="18"/>
                <w:szCs w:val="18"/>
              </w:rPr>
            </w:pPr>
            <w:r>
              <w:rPr>
                <w:sz w:val="18"/>
                <w:szCs w:val="18"/>
              </w:rPr>
              <w:t>Соответствие ГОСТ 13865-2000. Сайра натуральная с добавлением масла. ТР ЕАЭС 040/2016. ТР ТС 022/2011.Маркировка отображает: дату выработки; ассортиментный знак; номер предприятия – изготовителя; номер смены; «Р» - знак рыбной промышленности. Консервы должны удовлетворять требованиям промышленной стерильности. По показателям безопасности консервы должны соответствовать гигиеническим требованиям, установленным органами государственного санитарно–эпидемиологического надзора</w:t>
            </w:r>
          </w:p>
          <w:p>
            <w:pPr>
              <w:pStyle w:val="Normal"/>
              <w:ind w:right="113"/>
              <w:jc w:val="both"/>
              <w:rPr>
                <w:sz w:val="18"/>
                <w:szCs w:val="18"/>
              </w:rPr>
            </w:pPr>
            <w:r>
              <w:rPr>
                <w:sz w:val="18"/>
                <w:szCs w:val="18"/>
              </w:rPr>
              <w:t>Вкус приятный, свойственный консервам данного вида, без постороннего привкуса и горечи.</w:t>
            </w:r>
          </w:p>
          <w:p>
            <w:pPr>
              <w:pStyle w:val="Normal"/>
              <w:ind w:right="113"/>
              <w:jc w:val="both"/>
              <w:rPr>
                <w:sz w:val="18"/>
                <w:szCs w:val="18"/>
              </w:rPr>
            </w:pPr>
            <w:r>
              <w:rPr>
                <w:sz w:val="18"/>
                <w:szCs w:val="18"/>
              </w:rPr>
              <w:t>Запах приятный, свойственный консервам данного вида, без постороннего запаха.</w:t>
            </w:r>
          </w:p>
          <w:p>
            <w:pPr>
              <w:pStyle w:val="Normal"/>
              <w:ind w:right="113"/>
              <w:jc w:val="both"/>
              <w:rPr>
                <w:sz w:val="18"/>
                <w:szCs w:val="18"/>
              </w:rPr>
            </w:pPr>
            <w:r>
              <w:rPr>
                <w:sz w:val="18"/>
                <w:szCs w:val="18"/>
              </w:rPr>
              <w:t>Консистенция мяса рыбы - сочная, косей – мягкая.</w:t>
            </w:r>
          </w:p>
          <w:p>
            <w:pPr>
              <w:pStyle w:val="Normal"/>
              <w:ind w:right="113"/>
              <w:jc w:val="both"/>
              <w:rPr>
                <w:sz w:val="18"/>
                <w:szCs w:val="18"/>
              </w:rPr>
            </w:pPr>
            <w:r>
              <w:rPr>
                <w:sz w:val="18"/>
                <w:szCs w:val="18"/>
              </w:rPr>
              <w:t>Не допускается бомбаж – вздутие банок, покрытые ржавчиной банки, , отсутствие этикетки, деформация.</w:t>
            </w:r>
          </w:p>
          <w:p>
            <w:pPr>
              <w:pStyle w:val="Normal"/>
              <w:ind w:right="113"/>
              <w:jc w:val="both"/>
              <w:rPr>
                <w:sz w:val="18"/>
                <w:szCs w:val="18"/>
              </w:rPr>
            </w:pPr>
            <w:r>
              <w:rPr>
                <w:sz w:val="18"/>
                <w:szCs w:val="18"/>
              </w:rPr>
              <w:t>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Lines/>
              <w:rPr>
                <w:bCs/>
                <w:sz w:val="18"/>
                <w:szCs w:val="18"/>
              </w:rPr>
            </w:pPr>
            <w:r>
              <w:rPr>
                <w:bCs/>
                <w:sz w:val="18"/>
                <w:szCs w:val="18"/>
              </w:rPr>
              <w:t>кг</w:t>
            </w:r>
          </w:p>
        </w:tc>
        <w:tc>
          <w:tcPr>
            <w:tcW w:w="974" w:type="dxa"/>
            <w:tcBorders>
              <w:left w:val="single" w:sz="4" w:space="0" w:color="000000"/>
              <w:bottom w:val="single" w:sz="4" w:space="0" w:color="000000"/>
              <w:right w:val="single" w:sz="4" w:space="0" w:color="000000"/>
            </w:tcBorders>
            <w:vAlign w:val="center"/>
          </w:tcPr>
          <w:p>
            <w:pPr>
              <w:pStyle w:val="Normal"/>
              <w:keepLines/>
              <w:rPr>
                <w:sz w:val="24"/>
                <w:szCs w:val="24"/>
              </w:rPr>
            </w:pPr>
            <w:r>
              <w:rPr>
                <w:sz w:val="24"/>
                <w:szCs w:val="24"/>
              </w:rPr>
              <w:t xml:space="preserve"> </w:t>
            </w:r>
            <w:r>
              <w:rPr>
                <w:color w:val="C9211E"/>
                <w:sz w:val="24"/>
                <w:szCs w:val="24"/>
              </w:rPr>
              <w:t xml:space="preserve">  </w:t>
            </w:r>
            <w:r>
              <w:rPr>
                <w:color w:val="000000"/>
                <w:sz w:val="22"/>
                <w:szCs w:val="22"/>
              </w:rPr>
              <w:t>100,8</w:t>
            </w:r>
          </w:p>
        </w:tc>
        <w:tc>
          <w:tcPr>
            <w:tcW w:w="908" w:type="dxa"/>
            <w:tcBorders>
              <w:left w:val="single" w:sz="4" w:space="0" w:color="000000"/>
              <w:bottom w:val="single" w:sz="4" w:space="0" w:color="000000"/>
              <w:right w:val="single" w:sz="4" w:space="0" w:color="000000"/>
            </w:tcBorders>
            <w:vAlign w:val="center"/>
          </w:tcPr>
          <w:p>
            <w:pPr>
              <w:pStyle w:val="Normal"/>
              <w:rPr>
                <w:color w:val="000000"/>
                <w:sz w:val="24"/>
                <w:szCs w:val="24"/>
              </w:rPr>
            </w:pPr>
            <w:r>
              <w:rPr>
                <w:color w:val="000000"/>
                <w:sz w:val="24"/>
                <w:szCs w:val="24"/>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snapToGrid w:val="false"/>
              <w:ind w:left="-113" w:right="0"/>
              <w:rPr>
                <w:bCs/>
                <w:color w:val="000000"/>
                <w:sz w:val="18"/>
                <w:szCs w:val="18"/>
              </w:rPr>
            </w:pPr>
            <w:r>
              <w:rPr>
                <w:bCs/>
                <w:color w:val="000000"/>
                <w:sz w:val="18"/>
                <w:szCs w:val="18"/>
              </w:rPr>
              <w:t>48</w:t>
            </w:r>
          </w:p>
        </w:tc>
        <w:tc>
          <w:tcPr>
            <w:tcW w:w="1740" w:type="dxa"/>
            <w:tcBorders>
              <w:left w:val="single" w:sz="4" w:space="0" w:color="000000"/>
              <w:bottom w:val="single" w:sz="4" w:space="0" w:color="000000"/>
              <w:right w:val="single" w:sz="4" w:space="0" w:color="000000"/>
            </w:tcBorders>
            <w:vAlign w:val="center"/>
          </w:tcPr>
          <w:p>
            <w:pPr>
              <w:pStyle w:val="Normal"/>
              <w:jc w:val="center"/>
              <w:rPr>
                <w:color w:val="000000"/>
                <w:sz w:val="24"/>
                <w:szCs w:val="24"/>
              </w:rPr>
            </w:pPr>
            <w:r>
              <w:rPr>
                <w:color w:val="000000"/>
                <w:sz w:val="24"/>
                <w:szCs w:val="24"/>
              </w:rPr>
              <w:t>Сода пищевая</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pPr>
            <w:r>
              <w:rPr>
                <w:color w:val="000000"/>
                <w:sz w:val="18"/>
                <w:szCs w:val="18"/>
              </w:rPr>
              <w:t xml:space="preserve">Соответствие ГОСТ 32802-2014. </w:t>
            </w:r>
            <w:r>
              <w:rPr>
                <w:sz w:val="18"/>
                <w:szCs w:val="18"/>
              </w:rPr>
              <w:t>ТР ТС 021/2011.</w:t>
            </w:r>
          </w:p>
          <w:p>
            <w:pPr>
              <w:pStyle w:val="Normal"/>
              <w:keepNext w:val="true"/>
              <w:jc w:val="both"/>
              <w:rPr/>
            </w:pPr>
            <w:r>
              <w:rPr>
                <w:rFonts w:eastAsia="Times New Roman" w:cs="Times New Roman"/>
                <w:color w:val="auto"/>
                <w:sz w:val="18"/>
                <w:szCs w:val="18"/>
                <w:lang w:val="ru-RU" w:eastAsia="zh-CN" w:bidi="ar-SA"/>
              </w:rPr>
              <w:t>Гидрокарбонат натрия Е500 ( натрий двууглекислый). Пищевая добавка не содержит ГМО. Применяется в пищевых продуктах в качестве регулятора кислотности, антислеживающего агента и разрыхлителя. Упаковка не более 0,5кг целая . чистая . читаемая.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Next w:val="true"/>
              <w:keepLines/>
              <w:jc w:val="center"/>
              <w:rPr>
                <w:color w:val="000000"/>
              </w:rPr>
            </w:pPr>
            <w:r>
              <w:rPr>
                <w:color w:val="000000"/>
              </w:rPr>
              <w:t>кг</w:t>
            </w:r>
          </w:p>
        </w:tc>
        <w:tc>
          <w:tcPr>
            <w:tcW w:w="974" w:type="dxa"/>
            <w:tcBorders>
              <w:left w:val="single" w:sz="4" w:space="0" w:color="000000"/>
              <w:bottom w:val="single" w:sz="4" w:space="0" w:color="000000"/>
              <w:right w:val="single" w:sz="4" w:space="0" w:color="000000"/>
            </w:tcBorders>
            <w:vAlign w:val="center"/>
          </w:tcPr>
          <w:p>
            <w:pPr>
              <w:pStyle w:val="Normal"/>
              <w:keepNext w:val="true"/>
              <w:keepLines/>
              <w:jc w:val="center"/>
              <w:rPr>
                <w:color w:val="auto"/>
              </w:rPr>
            </w:pPr>
            <w:r>
              <w:rPr>
                <w:color w:val="auto"/>
                <w:sz w:val="24"/>
                <w:szCs w:val="24"/>
              </w:rPr>
              <w:t>2</w:t>
            </w:r>
          </w:p>
        </w:tc>
        <w:tc>
          <w:tcPr>
            <w:tcW w:w="908" w:type="dxa"/>
            <w:tcBorders>
              <w:left w:val="single" w:sz="4" w:space="0" w:color="000000"/>
              <w:bottom w:val="single" w:sz="4" w:space="0" w:color="000000"/>
              <w:right w:val="single" w:sz="4" w:space="0" w:color="000000"/>
            </w:tcBorders>
            <w:vAlign w:val="center"/>
          </w:tcPr>
          <w:p>
            <w:pPr>
              <w:pStyle w:val="Normal"/>
              <w:rPr>
                <w:color w:val="000000"/>
              </w:rPr>
            </w:pPr>
            <w:r>
              <w:rPr>
                <w:color w:val="000000"/>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snapToGrid w:val="false"/>
              <w:ind w:left="-113" w:right="0"/>
              <w:rPr>
                <w:bCs/>
                <w:color w:val="000000"/>
                <w:sz w:val="18"/>
                <w:szCs w:val="18"/>
              </w:rPr>
            </w:pPr>
            <w:r>
              <w:rPr>
                <w:bCs/>
                <w:color w:val="000000"/>
                <w:sz w:val="18"/>
                <w:szCs w:val="18"/>
              </w:rPr>
              <w:t>49</w:t>
            </w:r>
          </w:p>
        </w:tc>
        <w:tc>
          <w:tcPr>
            <w:tcW w:w="1740"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Хмели-сунели</w:t>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 xml:space="preserve">Соответствие ТР ТС 021/2011, ТР ТС 022/2011, ТР ТС 005/2011. </w:t>
            </w:r>
            <w:r>
              <w:rPr>
                <w:rFonts w:eastAsia="Times New Roman" w:cs="Times New Roman"/>
                <w:color w:val="auto"/>
                <w:sz w:val="18"/>
                <w:szCs w:val="18"/>
                <w:lang w:val="ru-RU" w:eastAsia="zh-CN" w:bidi="ar-SA"/>
              </w:rPr>
              <w:t>ТУ/СТО  производителя, соответствующего характеристикам:</w:t>
            </w:r>
          </w:p>
          <w:p>
            <w:pPr>
              <w:pStyle w:val="Normal"/>
              <w:jc w:val="both"/>
              <w:rPr>
                <w:sz w:val="18"/>
                <w:szCs w:val="18"/>
              </w:rPr>
            </w:pPr>
            <w:r>
              <w:rPr>
                <w:sz w:val="18"/>
                <w:szCs w:val="18"/>
              </w:rPr>
              <w:t>Измельченная смесь пряностей: кориандр, укроп, куркума, лавровый лист, базилик. Цвет зеленовато-желтый. Вкус пряный, свойственный рецептурному составу смеси. Аромат свойственный пряностям. Продукт упаковывают в герметичную, чистую и неповрежденную упаковку, изготовленную из материалов, которые не оказывают воздействие на продукт и защищают его от попадания влаги и от потери летучих веществ.</w:t>
            </w:r>
          </w:p>
          <w:p>
            <w:pPr>
              <w:pStyle w:val="Normal"/>
              <w:keepNext w:val="true"/>
              <w:keepLines/>
              <w:jc w:val="both"/>
              <w:rPr>
                <w:sz w:val="18"/>
                <w:szCs w:val="18"/>
              </w:rPr>
            </w:pPr>
            <w:r>
              <w:rPr>
                <w:sz w:val="18"/>
                <w:szCs w:val="18"/>
              </w:rPr>
              <w:t>Упаковка не более 0,015 кг. Маркировка нанесена на каждую единицу товара.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Next w:val="true"/>
              <w:keepLines/>
              <w:jc w:val="center"/>
              <w:rPr>
                <w:color w:val="000000"/>
              </w:rPr>
            </w:pPr>
            <w:r>
              <w:rPr>
                <w:color w:val="000000"/>
              </w:rPr>
              <w:t>кг</w:t>
            </w:r>
          </w:p>
        </w:tc>
        <w:tc>
          <w:tcPr>
            <w:tcW w:w="974" w:type="dxa"/>
            <w:tcBorders>
              <w:left w:val="single" w:sz="4" w:space="0" w:color="000000"/>
              <w:bottom w:val="single" w:sz="4" w:space="0" w:color="000000"/>
              <w:right w:val="single" w:sz="4" w:space="0" w:color="000000"/>
            </w:tcBorders>
            <w:vAlign w:val="center"/>
          </w:tcPr>
          <w:p>
            <w:pPr>
              <w:pStyle w:val="Normal"/>
              <w:keepNext w:val="true"/>
              <w:keepLines/>
              <w:jc w:val="center"/>
              <w:rPr>
                <w:color w:val="000000"/>
                <w:sz w:val="24"/>
                <w:szCs w:val="24"/>
              </w:rPr>
            </w:pPr>
            <w:r>
              <w:rPr>
                <w:color w:val="000000"/>
                <w:sz w:val="24"/>
                <w:szCs w:val="24"/>
              </w:rPr>
              <w:t>0,72</w:t>
            </w:r>
          </w:p>
        </w:tc>
        <w:tc>
          <w:tcPr>
            <w:tcW w:w="908" w:type="dxa"/>
            <w:tcBorders>
              <w:left w:val="single" w:sz="4" w:space="0" w:color="000000"/>
              <w:bottom w:val="single" w:sz="4" w:space="0" w:color="000000"/>
              <w:right w:val="single" w:sz="4" w:space="0" w:color="000000"/>
            </w:tcBorders>
            <w:vAlign w:val="center"/>
          </w:tcPr>
          <w:p>
            <w:pPr>
              <w:pStyle w:val="Normal"/>
              <w:widowControl/>
              <w:suppressAutoHyphens w:val="true"/>
              <w:bidi w:val="0"/>
              <w:ind w:hanging="170" w:left="113" w:right="0"/>
              <w:rPr>
                <w:color w:val="000000"/>
              </w:rPr>
            </w:pPr>
            <w:r>
              <w:rPr>
                <w:color w:val="000000"/>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snapToGrid w:val="false"/>
              <w:ind w:left="-113" w:right="0"/>
              <w:rPr>
                <w:bCs/>
                <w:color w:val="000000"/>
                <w:sz w:val="18"/>
                <w:szCs w:val="18"/>
              </w:rPr>
            </w:pPr>
            <w:r>
              <w:rPr>
                <w:bCs/>
                <w:color w:val="000000"/>
                <w:sz w:val="18"/>
                <w:szCs w:val="18"/>
              </w:rPr>
              <w:t>50</w:t>
            </w:r>
          </w:p>
        </w:tc>
        <w:tc>
          <w:tcPr>
            <w:tcW w:w="1740" w:type="dxa"/>
            <w:tcBorders>
              <w:left w:val="single" w:sz="4" w:space="0" w:color="000000"/>
              <w:bottom w:val="single" w:sz="4" w:space="0" w:color="000000"/>
              <w:right w:val="single" w:sz="4" w:space="0" w:color="000000"/>
            </w:tcBorders>
            <w:vAlign w:val="center"/>
          </w:tcPr>
          <w:p>
            <w:pPr>
              <w:pStyle w:val="Normal"/>
              <w:jc w:val="center"/>
              <w:rPr/>
            </w:pPr>
            <w:r>
              <w:rPr/>
              <w:t>Порошок карри</w:t>
            </w:r>
          </w:p>
          <w:p>
            <w:pPr>
              <w:pStyle w:val="Normal"/>
              <w:jc w:val="center"/>
              <w:rPr>
                <w:color w:val="000000"/>
              </w:rPr>
            </w:pPr>
            <w:r>
              <w:rPr>
                <w:color w:val="000000"/>
              </w:rPr>
            </w:r>
          </w:p>
        </w:tc>
        <w:tc>
          <w:tcPr>
            <w:tcW w:w="5474" w:type="dxa"/>
            <w:tcBorders>
              <w:left w:val="single" w:sz="4" w:space="0" w:color="000000"/>
              <w:bottom w:val="single" w:sz="4" w:space="0" w:color="000000"/>
              <w:right w:val="single" w:sz="4" w:space="0" w:color="000000"/>
            </w:tcBorders>
            <w:vAlign w:val="center"/>
          </w:tcPr>
          <w:p>
            <w:pPr>
              <w:pStyle w:val="Normal"/>
              <w:keepNext w:val="true"/>
              <w:keepLines/>
              <w:jc w:val="both"/>
              <w:rPr>
                <w:sz w:val="18"/>
                <w:szCs w:val="18"/>
              </w:rPr>
            </w:pPr>
            <w:r>
              <w:rPr>
                <w:sz w:val="18"/>
                <w:szCs w:val="18"/>
              </w:rPr>
              <w:t xml:space="preserve">Соответствие ГОСТ </w:t>
            </w:r>
            <w:r>
              <w:rPr>
                <w:sz w:val="18"/>
                <w:szCs w:val="18"/>
                <w:lang w:val="en-US"/>
              </w:rPr>
              <w:t>ISO</w:t>
            </w:r>
            <w:r>
              <w:rPr>
                <w:sz w:val="18"/>
                <w:szCs w:val="18"/>
              </w:rPr>
              <w:t xml:space="preserve"> 2253-2015. ТР ТС 021/2011, ТР ТС 022/2011, ТР ТС 005/2011. </w:t>
            </w:r>
            <w:r>
              <w:rPr>
                <w:rFonts w:eastAsia="Times New Roman" w:cs="Times New Roman"/>
                <w:color w:val="auto"/>
                <w:sz w:val="18"/>
                <w:szCs w:val="18"/>
                <w:lang w:val="ru-RU" w:eastAsia="zh-CN" w:bidi="ar-SA"/>
              </w:rPr>
              <w:t>ТУ/СТО  производителя, соответствующего характеристикам:</w:t>
            </w:r>
          </w:p>
          <w:p>
            <w:pPr>
              <w:pStyle w:val="Normal"/>
              <w:jc w:val="both"/>
              <w:rPr>
                <w:sz w:val="18"/>
                <w:szCs w:val="18"/>
              </w:rPr>
            </w:pPr>
            <w:r>
              <w:rPr>
                <w:sz w:val="18"/>
                <w:szCs w:val="18"/>
              </w:rPr>
              <w:t>Порошок карри не должен содержать искусственных красителей. Запах и вкус порошка карри должен быть характерным для данного продукта, чистым, свежим. Не должен иметь постороннего запаха, а также прогорклости и прелости, отсутствие насекомых, плесени. Порошок карри упаковывают в герметичную, чистую и неповрежденную упаковку, изготовленную из материалов, которые не оказывают воздействие на продукт и защищают его от попадания влаги и от потери летучих веществ.</w:t>
            </w:r>
          </w:p>
          <w:p>
            <w:pPr>
              <w:pStyle w:val="Normal"/>
              <w:keepNext w:val="true"/>
              <w:keepLines/>
              <w:jc w:val="both"/>
              <w:rPr>
                <w:sz w:val="18"/>
                <w:szCs w:val="18"/>
              </w:rPr>
            </w:pPr>
            <w:r>
              <w:rPr>
                <w:sz w:val="18"/>
                <w:szCs w:val="18"/>
              </w:rPr>
              <w:t>Упаковка не более 0,015 кг. Маркировка нанесена на каждую единицу товара.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Next w:val="true"/>
              <w:keepLines/>
              <w:jc w:val="center"/>
              <w:rPr>
                <w:color w:val="000000"/>
              </w:rPr>
            </w:pPr>
            <w:r>
              <w:rPr>
                <w:color w:val="000000"/>
              </w:rPr>
              <w:t>кг</w:t>
            </w:r>
          </w:p>
        </w:tc>
        <w:tc>
          <w:tcPr>
            <w:tcW w:w="974" w:type="dxa"/>
            <w:tcBorders>
              <w:left w:val="single" w:sz="4" w:space="0" w:color="000000"/>
              <w:bottom w:val="single" w:sz="4" w:space="0" w:color="000000"/>
              <w:right w:val="single" w:sz="4" w:space="0" w:color="000000"/>
            </w:tcBorders>
            <w:vAlign w:val="center"/>
          </w:tcPr>
          <w:p>
            <w:pPr>
              <w:pStyle w:val="Normal"/>
              <w:keepNext w:val="true"/>
              <w:keepLines/>
              <w:jc w:val="center"/>
              <w:rPr>
                <w:color w:val="000000"/>
                <w:sz w:val="24"/>
                <w:szCs w:val="24"/>
              </w:rPr>
            </w:pPr>
            <w:r>
              <w:rPr>
                <w:color w:val="000000"/>
                <w:sz w:val="24"/>
                <w:szCs w:val="24"/>
              </w:rPr>
              <w:t>0,72</w:t>
            </w:r>
          </w:p>
        </w:tc>
        <w:tc>
          <w:tcPr>
            <w:tcW w:w="908" w:type="dxa"/>
            <w:tcBorders>
              <w:left w:val="single" w:sz="4" w:space="0" w:color="000000"/>
              <w:bottom w:val="single" w:sz="4" w:space="0" w:color="000000"/>
              <w:right w:val="single" w:sz="4" w:space="0" w:color="000000"/>
            </w:tcBorders>
            <w:vAlign w:val="center"/>
          </w:tcPr>
          <w:p>
            <w:pPr>
              <w:pStyle w:val="Normal"/>
              <w:widowControl/>
              <w:suppressAutoHyphens w:val="true"/>
              <w:bidi w:val="0"/>
              <w:ind w:hanging="113" w:right="0"/>
              <w:rPr>
                <w:color w:val="000000"/>
              </w:rPr>
            </w:pPr>
            <w:r>
              <w:rPr>
                <w:color w:val="000000"/>
              </w:rPr>
            </w:r>
          </w:p>
        </w:tc>
      </w:tr>
      <w:tr>
        <w:trPr>
          <w:cantSplit w:val="true"/>
        </w:trPr>
        <w:tc>
          <w:tcPr>
            <w:tcW w:w="414" w:type="dxa"/>
            <w:tcBorders>
              <w:left w:val="single" w:sz="4" w:space="0" w:color="000000"/>
              <w:bottom w:val="single" w:sz="4" w:space="0" w:color="000000"/>
              <w:right w:val="single" w:sz="4" w:space="0" w:color="000000"/>
            </w:tcBorders>
            <w:vAlign w:val="center"/>
          </w:tcPr>
          <w:p>
            <w:pPr>
              <w:pStyle w:val="Normal"/>
              <w:keepLines/>
              <w:snapToGrid w:val="false"/>
              <w:ind w:left="-113" w:right="0"/>
              <w:rPr>
                <w:bCs/>
                <w:color w:val="000000"/>
                <w:sz w:val="18"/>
                <w:szCs w:val="18"/>
              </w:rPr>
            </w:pPr>
            <w:r>
              <w:rPr>
                <w:bCs/>
                <w:color w:val="000000"/>
                <w:sz w:val="18"/>
                <w:szCs w:val="18"/>
              </w:rPr>
              <w:t>51</w:t>
            </w:r>
          </w:p>
        </w:tc>
        <w:tc>
          <w:tcPr>
            <w:tcW w:w="1740" w:type="dxa"/>
            <w:tcBorders>
              <w:left w:val="single" w:sz="4" w:space="0" w:color="000000"/>
              <w:bottom w:val="single" w:sz="4" w:space="0" w:color="000000"/>
              <w:right w:val="single" w:sz="4" w:space="0" w:color="000000"/>
            </w:tcBorders>
            <w:vAlign w:val="center"/>
          </w:tcPr>
          <w:p>
            <w:pPr>
              <w:pStyle w:val="Normal"/>
              <w:jc w:val="center"/>
              <w:rPr>
                <w:color w:val="000000"/>
                <w:sz w:val="24"/>
                <w:szCs w:val="24"/>
              </w:rPr>
            </w:pPr>
            <w:r>
              <w:rPr>
                <w:color w:val="000000"/>
                <w:sz w:val="24"/>
                <w:szCs w:val="24"/>
              </w:rPr>
              <w:t>Приправа для куриного бульона</w:t>
            </w:r>
          </w:p>
        </w:tc>
        <w:tc>
          <w:tcPr>
            <w:tcW w:w="5474" w:type="dxa"/>
            <w:tcBorders>
              <w:left w:val="single" w:sz="4" w:space="0" w:color="000000"/>
              <w:bottom w:val="single" w:sz="4" w:space="0" w:color="000000"/>
              <w:right w:val="single" w:sz="4" w:space="0" w:color="000000"/>
            </w:tcBorders>
            <w:vAlign w:val="center"/>
          </w:tcPr>
          <w:p>
            <w:pPr>
              <w:pStyle w:val="Normal"/>
              <w:ind w:right="113"/>
              <w:jc w:val="both"/>
              <w:rPr>
                <w:color w:val="000000"/>
                <w:sz w:val="18"/>
                <w:szCs w:val="18"/>
              </w:rPr>
            </w:pPr>
            <w:r>
              <w:rPr>
                <w:b w:val="false"/>
                <w:bCs w:val="false"/>
                <w:sz w:val="18"/>
                <w:szCs w:val="18"/>
              </w:rPr>
              <w:t xml:space="preserve">Соответствие ГОСТ </w:t>
            </w:r>
            <w:r>
              <w:rPr>
                <w:b w:val="false"/>
                <w:bCs w:val="false"/>
                <w:sz w:val="18"/>
                <w:szCs w:val="18"/>
                <w:lang w:val="en-US"/>
              </w:rPr>
              <w:t>ISO</w:t>
            </w:r>
            <w:r>
              <w:rPr>
                <w:b w:val="false"/>
                <w:bCs w:val="false"/>
                <w:sz w:val="18"/>
                <w:szCs w:val="18"/>
              </w:rPr>
              <w:t xml:space="preserve"> 2253-2015. ТР ТС 021/2011, ТР ТС 022/2011, ТР ТС 005/2011.</w:t>
            </w:r>
            <w:r>
              <w:rPr>
                <w:b/>
                <w:bCs/>
                <w:sz w:val="18"/>
                <w:szCs w:val="18"/>
              </w:rPr>
              <w:t xml:space="preserve"> </w:t>
            </w:r>
            <w:r>
              <w:rPr>
                <w:sz w:val="18"/>
                <w:szCs w:val="18"/>
              </w:rPr>
              <w:t>Порошок карри не должен содержать искусственных красителей. Запах и вкус порошка карри должен быть характерным для данного продукта, чистым, свежим. Не должен иметь постороннего запаха, а также прогорклости и прелости, плесени, зараженности насекомыми. Продукт упаковывают в герметичную, чистую и неповрежденную упаковку, изготовленную из материалов, которые не оказывают воздействие на продукт и защищают его от попадания влаги и от потери летучих веществ</w:t>
            </w:r>
          </w:p>
          <w:p>
            <w:pPr>
              <w:pStyle w:val="Normal"/>
              <w:keepNext w:val="true"/>
              <w:keepLines/>
              <w:jc w:val="both"/>
              <w:rPr>
                <w:sz w:val="18"/>
                <w:szCs w:val="18"/>
              </w:rPr>
            </w:pPr>
            <w:r>
              <w:rPr>
                <w:rFonts w:eastAsia="Times New Roman" w:cs="Times New Roman"/>
                <w:b w:val="false"/>
                <w:bCs w:val="false"/>
                <w:color w:val="auto"/>
                <w:sz w:val="18"/>
                <w:szCs w:val="18"/>
                <w:lang w:val="ru-RU" w:eastAsia="zh-CN" w:bidi="ar-SA"/>
              </w:rPr>
              <w:t>.Масса упаковки не более 0,015 кг. Маркировка нанесена на каждую единицу товара. Целостность упаковки не нарушена. Остаточный срок годности не менее 90% на момент поставки товара.</w:t>
            </w:r>
          </w:p>
        </w:tc>
        <w:tc>
          <w:tcPr>
            <w:tcW w:w="734" w:type="dxa"/>
            <w:tcBorders>
              <w:left w:val="single" w:sz="4" w:space="0" w:color="000000"/>
              <w:bottom w:val="single" w:sz="4" w:space="0" w:color="000000"/>
              <w:right w:val="single" w:sz="4" w:space="0" w:color="000000"/>
            </w:tcBorders>
            <w:vAlign w:val="center"/>
          </w:tcPr>
          <w:p>
            <w:pPr>
              <w:pStyle w:val="Normal"/>
              <w:keepNext w:val="true"/>
              <w:keepLines/>
              <w:jc w:val="center"/>
              <w:rPr>
                <w:color w:val="000000"/>
              </w:rPr>
            </w:pPr>
            <w:r>
              <w:rPr>
                <w:color w:val="000000"/>
              </w:rPr>
              <w:t>кг</w:t>
            </w:r>
          </w:p>
        </w:tc>
        <w:tc>
          <w:tcPr>
            <w:tcW w:w="974" w:type="dxa"/>
            <w:tcBorders>
              <w:left w:val="single" w:sz="4" w:space="0" w:color="000000"/>
              <w:bottom w:val="single" w:sz="4" w:space="0" w:color="000000"/>
              <w:right w:val="single" w:sz="4" w:space="0" w:color="000000"/>
            </w:tcBorders>
            <w:vAlign w:val="center"/>
          </w:tcPr>
          <w:p>
            <w:pPr>
              <w:pStyle w:val="Normal"/>
              <w:keepNext w:val="true"/>
              <w:keepLines/>
              <w:jc w:val="center"/>
              <w:rPr>
                <w:color w:val="000000"/>
                <w:sz w:val="24"/>
                <w:szCs w:val="24"/>
              </w:rPr>
            </w:pPr>
            <w:r>
              <w:rPr>
                <w:color w:val="000000"/>
                <w:sz w:val="24"/>
                <w:szCs w:val="24"/>
              </w:rPr>
              <w:t>5,04</w:t>
            </w:r>
          </w:p>
        </w:tc>
        <w:tc>
          <w:tcPr>
            <w:tcW w:w="908" w:type="dxa"/>
            <w:tcBorders>
              <w:left w:val="single" w:sz="4" w:space="0" w:color="000000"/>
              <w:bottom w:val="single" w:sz="4" w:space="0" w:color="000000"/>
              <w:right w:val="single" w:sz="4" w:space="0" w:color="000000"/>
            </w:tcBorders>
            <w:vAlign w:val="center"/>
          </w:tcPr>
          <w:p>
            <w:pPr>
              <w:pStyle w:val="Normal"/>
              <w:rPr>
                <w:color w:val="000000"/>
              </w:rPr>
            </w:pPr>
            <w:r>
              <w:rPr>
                <w:color w:val="000000"/>
              </w:rPr>
            </w:r>
          </w:p>
        </w:tc>
      </w:tr>
    </w:tbl>
    <w:p>
      <w:pPr>
        <w:pStyle w:val="Normal"/>
        <w:ind w:firstLine="426"/>
        <w:jc w:val="both"/>
        <w:rPr>
          <w:spacing w:val="2"/>
        </w:rPr>
      </w:pPr>
      <w:r>
        <w:rPr>
          <w:spacing w:val="2"/>
        </w:rPr>
      </w:r>
    </w:p>
    <w:p>
      <w:pPr>
        <w:pStyle w:val="Normal"/>
        <w:rPr>
          <w:rFonts w:ascii="Arial" w:hAnsi="Arial" w:cs="Arial"/>
          <w:sz w:val="26"/>
          <w:szCs w:val="26"/>
        </w:rPr>
      </w:pPr>
      <w:r>
        <w:rPr>
          <w:rFonts w:cs="Arial" w:ascii="Arial" w:hAnsi="Arial"/>
          <w:sz w:val="26"/>
          <w:szCs w:val="26"/>
        </w:rPr>
      </w:r>
    </w:p>
    <w:p>
      <w:pPr>
        <w:pStyle w:val="ListParagraph"/>
        <w:ind w:left="284"/>
        <w:jc w:val="both"/>
        <w:rPr>
          <w:rFonts w:ascii="Arial" w:hAnsi="Arial" w:cs="Arial"/>
          <w:color w:val="000000"/>
          <w:sz w:val="26"/>
          <w:szCs w:val="26"/>
          <w:shd w:fill="FFFFFF" w:val="clear"/>
        </w:rPr>
      </w:pPr>
      <w:r>
        <w:rPr>
          <w:rFonts w:cs="Arial" w:ascii="Arial" w:hAnsi="Arial"/>
          <w:color w:val="000000"/>
          <w:sz w:val="26"/>
          <w:szCs w:val="26"/>
          <w:shd w:fill="FFFFFF" w:val="clear"/>
        </w:rPr>
        <w:t>_________                                                          ________     ______________</w:t>
      </w:r>
    </w:p>
    <w:p>
      <w:pPr>
        <w:pStyle w:val="ListParagraph"/>
        <w:tabs>
          <w:tab w:val="clear" w:pos="708"/>
          <w:tab w:val="left" w:pos="6323" w:leader="none"/>
          <w:tab w:val="left" w:pos="8152" w:leader="none"/>
        </w:tabs>
        <w:ind w:left="284"/>
        <w:jc w:val="both"/>
        <w:rPr>
          <w:rFonts w:ascii="Arial" w:hAnsi="Arial" w:cs="Arial"/>
          <w:color w:val="000000"/>
          <w:sz w:val="16"/>
          <w:szCs w:val="16"/>
          <w:shd w:fill="FFFFFF" w:val="clear"/>
        </w:rPr>
      </w:pPr>
      <w:r>
        <w:rPr>
          <w:rFonts w:cs="Arial" w:ascii="Arial" w:hAnsi="Arial"/>
          <w:color w:val="000000"/>
          <w:sz w:val="16"/>
          <w:szCs w:val="16"/>
          <w:shd w:fill="FFFFFF" w:val="clear"/>
        </w:rPr>
        <w:t>должность                                                                                                             подпись</w:t>
        <w:tab/>
        <w:t>ФИО</w:t>
      </w:r>
    </w:p>
    <w:p>
      <w:pPr>
        <w:pStyle w:val="Normal"/>
        <w:rPr>
          <w:rFonts w:ascii="Arial" w:hAnsi="Arial" w:cs="Arial"/>
          <w:sz w:val="26"/>
          <w:szCs w:val="26"/>
        </w:rPr>
      </w:pPr>
      <w:r>
        <w:rPr>
          <w:rFonts w:cs="Arial" w:ascii="Arial" w:hAnsi="Arial"/>
          <w:sz w:val="26"/>
          <w:szCs w:val="26"/>
        </w:rPr>
      </w:r>
    </w:p>
    <w:sectPr>
      <w:type w:val="nextPage"/>
      <w:pgSz w:w="11906" w:h="16838"/>
      <w:pgMar w:left="1701" w:right="850" w:gutter="0" w:header="0" w:top="426" w:footer="0" w:bottom="56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Segoe UI">
    <w:charset w:val="cc"/>
    <w:family w:val="roman"/>
    <w:pitch w:val="variable"/>
  </w:font>
  <w:font w:name="Liberation Sans">
    <w:altName w:val="Arial"/>
    <w:charset w:val="cc"/>
    <w:family w:val="roman"/>
    <w:pitch w:val="variable"/>
  </w:font>
  <w:font w:name="Courier New">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uiPriority="0"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c5c98"/>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2"/>
    <w:qFormat/>
    <w:rsid w:val="00f76952"/>
    <w:pPr>
      <w:keepNext w:val="true"/>
      <w:outlineLvl w:val="0"/>
    </w:pPr>
    <w:rPr>
      <w:sz w:val="32"/>
      <w:szCs w:val="32"/>
    </w:rPr>
  </w:style>
  <w:style w:type="paragraph" w:styleId="Heading2">
    <w:name w:val="Heading 2"/>
    <w:basedOn w:val="Normal"/>
    <w:next w:val="Normal"/>
    <w:link w:val="2"/>
    <w:qFormat/>
    <w:rsid w:val="00f76952"/>
    <w:pPr>
      <w:keepNext w:val="true"/>
      <w:spacing w:before="240" w:after="60"/>
      <w:outlineLvl w:val="1"/>
    </w:pPr>
    <w:rPr>
      <w:rFonts w:ascii="Arial" w:hAnsi="Arial" w:cs="Arial"/>
      <w:b/>
      <w:bCs/>
      <w:i/>
      <w:iCs/>
      <w:sz w:val="28"/>
      <w:szCs w:val="28"/>
    </w:rPr>
  </w:style>
  <w:style w:type="paragraph" w:styleId="Heading3">
    <w:name w:val="Heading 3"/>
    <w:basedOn w:val="Normal"/>
    <w:next w:val="Normal"/>
    <w:link w:val="3"/>
    <w:semiHidden/>
    <w:unhideWhenUsed/>
    <w:qFormat/>
    <w:rsid w:val="00f76952"/>
    <w:pPr>
      <w:keepNext w:val="true"/>
      <w:spacing w:before="240" w:after="60"/>
      <w:outlineLvl w:val="2"/>
    </w:pPr>
    <w:rPr>
      <w:rFonts w:ascii="Cambria" w:hAnsi="Cambria"/>
      <w:b/>
      <w:bCs/>
      <w:sz w:val="26"/>
      <w:szCs w:val="26"/>
      <w:lang w:val="x-none" w:eastAsia="x-none"/>
    </w:rPr>
  </w:style>
  <w:style w:type="character" w:styleId="DefaultParagraphFont" w:default="1">
    <w:name w:val="Default Paragraph Font"/>
    <w:uiPriority w:val="1"/>
    <w:semiHidden/>
    <w:unhideWhenUsed/>
    <w:qFormat/>
    <w:rPr/>
  </w:style>
  <w:style w:type="character" w:styleId="Style11" w:customStyle="1">
    <w:name w:val="Основной текст Знак"/>
    <w:basedOn w:val="DefaultParagraphFont"/>
    <w:qFormat/>
    <w:rsid w:val="002c5c98"/>
    <w:rPr>
      <w:rFonts w:ascii="Times New Roman" w:hAnsi="Times New Roman" w:eastAsia="Times New Roman" w:cs="Times New Roman"/>
      <w:sz w:val="28"/>
      <w:szCs w:val="20"/>
      <w:lang w:eastAsia="ru-RU"/>
    </w:rPr>
  </w:style>
  <w:style w:type="character" w:styleId="Hyperlink">
    <w:name w:val="Hyperlink"/>
    <w:uiPriority w:val="99"/>
    <w:rsid w:val="002c5c98"/>
    <w:rPr>
      <w:color w:val="0000FF"/>
      <w:u w:val="single"/>
    </w:rPr>
  </w:style>
  <w:style w:type="character" w:styleId="1" w:customStyle="1">
    <w:name w:val="Стиль1 Знак"/>
    <w:link w:val="13"/>
    <w:qFormat/>
    <w:rsid w:val="002c5c98"/>
    <w:rPr>
      <w:rFonts w:ascii="Times New Roman" w:hAnsi="Times New Roman" w:eastAsia="Times New Roman" w:cs="Times New Roman"/>
      <w:b/>
      <w:sz w:val="28"/>
      <w:szCs w:val="20"/>
      <w:lang w:eastAsia="ru-RU"/>
    </w:rPr>
  </w:style>
  <w:style w:type="character" w:styleId="Style12" w:customStyle="1">
    <w:name w:val="Текст выноски Знак"/>
    <w:basedOn w:val="DefaultParagraphFont"/>
    <w:link w:val="BalloonText"/>
    <w:qFormat/>
    <w:rsid w:val="002c5c98"/>
    <w:rPr>
      <w:rFonts w:ascii="Segoe UI" w:hAnsi="Segoe UI" w:eastAsia="Times New Roman" w:cs="Segoe UI"/>
      <w:sz w:val="18"/>
      <w:szCs w:val="18"/>
      <w:lang w:eastAsia="ru-RU"/>
    </w:rPr>
  </w:style>
  <w:style w:type="character" w:styleId="11" w:customStyle="1">
    <w:name w:val="Неразрешенное упоминание1"/>
    <w:basedOn w:val="DefaultParagraphFont"/>
    <w:uiPriority w:val="99"/>
    <w:semiHidden/>
    <w:unhideWhenUsed/>
    <w:qFormat/>
    <w:rsid w:val="009d7704"/>
    <w:rPr>
      <w:color w:val="605E5C"/>
      <w:shd w:fill="E1DFDD" w:val="clear"/>
    </w:rPr>
  </w:style>
  <w:style w:type="character" w:styleId="12" w:customStyle="1">
    <w:name w:val="Заголовок 1 Знак"/>
    <w:basedOn w:val="DefaultParagraphFont"/>
    <w:qFormat/>
    <w:rsid w:val="00f76952"/>
    <w:rPr>
      <w:rFonts w:ascii="Times New Roman" w:hAnsi="Times New Roman" w:eastAsia="Times New Roman" w:cs="Times New Roman"/>
      <w:sz w:val="32"/>
      <w:szCs w:val="32"/>
      <w:lang w:eastAsia="ru-RU"/>
    </w:rPr>
  </w:style>
  <w:style w:type="character" w:styleId="2" w:customStyle="1">
    <w:name w:val="Заголовок 2 Знак"/>
    <w:basedOn w:val="DefaultParagraphFont"/>
    <w:qFormat/>
    <w:rsid w:val="00f76952"/>
    <w:rPr>
      <w:rFonts w:ascii="Arial" w:hAnsi="Arial" w:eastAsia="Times New Roman" w:cs="Arial"/>
      <w:b/>
      <w:bCs/>
      <w:i/>
      <w:iCs/>
      <w:sz w:val="28"/>
      <w:szCs w:val="28"/>
      <w:lang w:eastAsia="ru-RU"/>
    </w:rPr>
  </w:style>
  <w:style w:type="character" w:styleId="3" w:customStyle="1">
    <w:name w:val="Заголовок 3 Знак"/>
    <w:basedOn w:val="DefaultParagraphFont"/>
    <w:semiHidden/>
    <w:qFormat/>
    <w:rsid w:val="00f76952"/>
    <w:rPr>
      <w:rFonts w:ascii="Cambria" w:hAnsi="Cambria" w:eastAsia="Times New Roman" w:cs="Times New Roman"/>
      <w:b/>
      <w:bCs/>
      <w:sz w:val="26"/>
      <w:szCs w:val="26"/>
      <w:lang w:val="x-none" w:eastAsia="x-none"/>
    </w:rPr>
  </w:style>
  <w:style w:type="character" w:styleId="Style13" w:customStyle="1">
    <w:name w:val="Основной текст с отступом Знак"/>
    <w:basedOn w:val="DefaultParagraphFont"/>
    <w:qFormat/>
    <w:rsid w:val="00f76952"/>
    <w:rPr>
      <w:rFonts w:ascii="Times New Roman" w:hAnsi="Times New Roman" w:eastAsia="Times New Roman" w:cs="Times New Roman"/>
      <w:sz w:val="28"/>
      <w:szCs w:val="28"/>
      <w:lang w:eastAsia="ru-RU"/>
    </w:rPr>
  </w:style>
  <w:style w:type="character" w:styleId="Style14" w:customStyle="1">
    <w:name w:val="Цветовое выделение"/>
    <w:qFormat/>
    <w:rsid w:val="00f76952"/>
    <w:rPr>
      <w:b/>
      <w:bCs/>
      <w:color w:val="26282F"/>
    </w:rPr>
  </w:style>
  <w:style w:type="character" w:styleId="Style15" w:customStyle="1">
    <w:name w:val="Гипертекстовая ссылка"/>
    <w:qFormat/>
    <w:rsid w:val="00f76952"/>
    <w:rPr>
      <w:b/>
      <w:bCs/>
      <w:color w:val="106BBE"/>
    </w:rPr>
  </w:style>
  <w:style w:type="character" w:styleId="HTMLCite">
    <w:name w:val="HTML Cite"/>
    <w:qFormat/>
    <w:rsid w:val="00f76952"/>
    <w:rPr>
      <w:i/>
      <w:iCs/>
    </w:rPr>
  </w:style>
  <w:style w:type="character" w:styleId="Style16" w:customStyle="1">
    <w:name w:val="Верхний колонтитул Знак"/>
    <w:basedOn w:val="DefaultParagraphFont"/>
    <w:qFormat/>
    <w:rsid w:val="00f76952"/>
    <w:rPr>
      <w:rFonts w:ascii="Times New Roman" w:hAnsi="Times New Roman" w:eastAsia="Times New Roman" w:cs="Times New Roman"/>
      <w:sz w:val="20"/>
      <w:szCs w:val="20"/>
      <w:lang w:eastAsia="ru-RU"/>
    </w:rPr>
  </w:style>
  <w:style w:type="character" w:styleId="Style17" w:customStyle="1">
    <w:name w:val="Нижний колонтитул Знак"/>
    <w:basedOn w:val="DefaultParagraphFont"/>
    <w:uiPriority w:val="99"/>
    <w:qFormat/>
    <w:rsid w:val="00f76952"/>
    <w:rPr>
      <w:rFonts w:ascii="Times New Roman" w:hAnsi="Times New Roman" w:eastAsia="Times New Roman" w:cs="Times New Roman"/>
      <w:sz w:val="20"/>
      <w:szCs w:val="20"/>
      <w:lang w:eastAsia="ru-RU"/>
    </w:rPr>
  </w:style>
  <w:style w:type="character" w:styleId="Apple-converted-space" w:customStyle="1">
    <w:name w:val="apple-converted-space"/>
    <w:basedOn w:val="DefaultParagraphFont"/>
    <w:qFormat/>
    <w:rsid w:val="00f76952"/>
    <w:rPr/>
  </w:style>
  <w:style w:type="character" w:styleId="FontStyle12" w:customStyle="1">
    <w:name w:val="Font Style12"/>
    <w:uiPriority w:val="99"/>
    <w:qFormat/>
    <w:rsid w:val="00f76952"/>
    <w:rPr>
      <w:rFonts w:ascii="Times New Roman" w:hAnsi="Times New Roman" w:cs="Times New Roman"/>
      <w:sz w:val="22"/>
      <w:szCs w:val="22"/>
    </w:rPr>
  </w:style>
  <w:style w:type="character" w:styleId="Strong">
    <w:name w:val="Strong"/>
    <w:uiPriority w:val="22"/>
    <w:qFormat/>
    <w:rsid w:val="00f76952"/>
    <w:rPr>
      <w:b/>
      <w:bCs/>
    </w:rPr>
  </w:style>
  <w:style w:type="character" w:styleId="Exact" w:customStyle="1">
    <w:name w:val="Основной текст Exact"/>
    <w:qFormat/>
    <w:rsid w:val="00f76952"/>
    <w:rPr>
      <w:rFonts w:ascii="Times New Roman" w:hAnsi="Times New Roman" w:cs="Times New Roman"/>
      <w:strike w:val="false"/>
      <w:dstrike w:val="false"/>
      <w:sz w:val="18"/>
      <w:szCs w:val="18"/>
      <w:u w:val="none"/>
      <w:effect w:val="none"/>
    </w:rPr>
  </w:style>
  <w:style w:type="character" w:styleId="21" w:customStyle="1">
    <w:name w:val="Основной текст (2)_"/>
    <w:link w:val="212"/>
    <w:qFormat/>
    <w:locked/>
    <w:rsid w:val="00f76952"/>
    <w:rPr>
      <w:b/>
      <w:bCs/>
      <w:shd w:fill="FFFFFF" w:val="clear"/>
    </w:rPr>
  </w:style>
  <w:style w:type="character" w:styleId="S10" w:customStyle="1">
    <w:name w:val="s_10"/>
    <w:qFormat/>
    <w:rsid w:val="00f76952"/>
    <w:rPr/>
  </w:style>
  <w:style w:type="character" w:styleId="UnresolvedMention">
    <w:name w:val="Unresolved Mention"/>
    <w:basedOn w:val="DefaultParagraphFont"/>
    <w:uiPriority w:val="99"/>
    <w:semiHidden/>
    <w:unhideWhenUsed/>
    <w:qFormat/>
    <w:rsid w:val="00f76952"/>
    <w:rPr>
      <w:color w:val="605E5C"/>
      <w:shd w:fill="E1DFDD" w:val="clear"/>
    </w:rPr>
  </w:style>
  <w:style w:type="character" w:styleId="Style18">
    <w:name w:val="Основной шрифт абзаца"/>
    <w:qFormat/>
    <w:rPr/>
  </w:style>
  <w:style w:type="paragraph" w:styleId="Style19">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Style11"/>
    <w:rsid w:val="002c5c98"/>
    <w:pPr>
      <w:jc w:val="both"/>
    </w:pPr>
    <w:rPr>
      <w:sz w:val="28"/>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20">
    <w:name w:val="Указатель"/>
    <w:basedOn w:val="Normal"/>
    <w:qFormat/>
    <w:pPr>
      <w:suppressLineNumbers/>
    </w:pPr>
    <w:rPr>
      <w:rFonts w:cs="Lucida Sans"/>
    </w:rPr>
  </w:style>
  <w:style w:type="paragraph" w:styleId="13" w:customStyle="1">
    <w:name w:val="Стиль1"/>
    <w:basedOn w:val="BodyText"/>
    <w:link w:val="1"/>
    <w:qFormat/>
    <w:rsid w:val="002c5c98"/>
    <w:pPr>
      <w:jc w:val="center"/>
    </w:pPr>
    <w:rPr>
      <w:b/>
    </w:rPr>
  </w:style>
  <w:style w:type="paragraph" w:styleId="BalloonText">
    <w:name w:val="Balloon Text"/>
    <w:basedOn w:val="Normal"/>
    <w:link w:val="Style12"/>
    <w:unhideWhenUsed/>
    <w:qFormat/>
    <w:rsid w:val="002c5c98"/>
    <w:pPr/>
    <w:rPr>
      <w:rFonts w:ascii="Segoe UI" w:hAnsi="Segoe UI" w:cs="Segoe UI"/>
      <w:sz w:val="18"/>
      <w:szCs w:val="18"/>
    </w:rPr>
  </w:style>
  <w:style w:type="paragraph" w:styleId="ListParagraph">
    <w:name w:val="List Paragraph"/>
    <w:basedOn w:val="Normal"/>
    <w:uiPriority w:val="34"/>
    <w:qFormat/>
    <w:rsid w:val="00474333"/>
    <w:pPr>
      <w:spacing w:before="0" w:after="0"/>
      <w:ind w:left="720"/>
      <w:contextualSpacing/>
    </w:pPr>
    <w:rPr/>
  </w:style>
  <w:style w:type="paragraph" w:styleId="NoSpacing">
    <w:name w:val="No Spacing"/>
    <w:basedOn w:val="Normal"/>
    <w:uiPriority w:val="1"/>
    <w:qFormat/>
    <w:rsid w:val="00cd1205"/>
    <w:pPr>
      <w:ind w:left="2160"/>
    </w:pPr>
    <w:rPr>
      <w:rFonts w:ascii="Calibri" w:hAnsi="Calibri" w:eastAsia="Calibri"/>
      <w:color w:val="5A5A5A"/>
      <w:sz w:val="20"/>
      <w:szCs w:val="20"/>
      <w:lang w:eastAsia="en-US"/>
    </w:rPr>
  </w:style>
  <w:style w:type="paragraph" w:styleId="BodyTextIndent">
    <w:name w:val="Body Text Indent"/>
    <w:basedOn w:val="Normal"/>
    <w:link w:val="Style13"/>
    <w:rsid w:val="00f76952"/>
    <w:pPr>
      <w:jc w:val="both"/>
    </w:pPr>
    <w:rPr>
      <w:sz w:val="28"/>
      <w:szCs w:val="28"/>
    </w:rPr>
  </w:style>
  <w:style w:type="paragraph" w:styleId="Style131" w:customStyle="1">
    <w:name w:val="Style13"/>
    <w:basedOn w:val="Normal"/>
    <w:qFormat/>
    <w:rsid w:val="00f76952"/>
    <w:pPr>
      <w:widowControl w:val="false"/>
      <w:spacing w:lineRule="exact" w:line="175"/>
      <w:jc w:val="both"/>
    </w:pPr>
    <w:rPr>
      <w:rFonts w:eastAsia="Calibri"/>
    </w:rPr>
  </w:style>
  <w:style w:type="paragraph" w:styleId="211" w:customStyle="1">
    <w:name w:val="Основной текст 21"/>
    <w:basedOn w:val="Normal"/>
    <w:qFormat/>
    <w:rsid w:val="00f76952"/>
    <w:pPr>
      <w:ind w:firstLine="851"/>
      <w:jc w:val="both"/>
    </w:pPr>
    <w:rPr>
      <w:szCs w:val="20"/>
    </w:rPr>
  </w:style>
  <w:style w:type="paragraph" w:styleId="Style21">
    <w:name w:val="Колонтитул"/>
    <w:basedOn w:val="Normal"/>
    <w:qFormat/>
    <w:pPr/>
    <w:rPr/>
  </w:style>
  <w:style w:type="paragraph" w:styleId="Header">
    <w:name w:val="Header"/>
    <w:basedOn w:val="Normal"/>
    <w:link w:val="Style16"/>
    <w:rsid w:val="00f76952"/>
    <w:pPr>
      <w:tabs>
        <w:tab w:val="clear" w:pos="708"/>
        <w:tab w:val="center" w:pos="4677" w:leader="none"/>
        <w:tab w:val="right" w:pos="9355" w:leader="none"/>
      </w:tabs>
    </w:pPr>
    <w:rPr>
      <w:sz w:val="20"/>
      <w:szCs w:val="20"/>
    </w:rPr>
  </w:style>
  <w:style w:type="paragraph" w:styleId="Footer">
    <w:name w:val="Footer"/>
    <w:basedOn w:val="Normal"/>
    <w:link w:val="Style17"/>
    <w:uiPriority w:val="99"/>
    <w:rsid w:val="00f76952"/>
    <w:pPr>
      <w:tabs>
        <w:tab w:val="clear" w:pos="708"/>
        <w:tab w:val="center" w:pos="4677" w:leader="none"/>
        <w:tab w:val="right" w:pos="9355" w:leader="none"/>
      </w:tabs>
    </w:pPr>
    <w:rPr>
      <w:sz w:val="20"/>
      <w:szCs w:val="20"/>
    </w:rPr>
  </w:style>
  <w:style w:type="paragraph" w:styleId="ConsNonformat" w:customStyle="1">
    <w:name w:val="ConsNonformat"/>
    <w:qFormat/>
    <w:rsid w:val="00f76952"/>
    <w:pPr>
      <w:widowControl/>
      <w:suppressAutoHyphens w:val="true"/>
      <w:bidi w:val="0"/>
      <w:spacing w:lineRule="auto" w:line="240" w:before="0" w:after="0"/>
      <w:ind w:right="19772"/>
      <w:jc w:val="left"/>
    </w:pPr>
    <w:rPr>
      <w:rFonts w:ascii="Courier New" w:hAnsi="Courier New" w:eastAsia="Times New Roman" w:cs="Courier New"/>
      <w:color w:val="auto"/>
      <w:kern w:val="0"/>
      <w:sz w:val="20"/>
      <w:szCs w:val="20"/>
      <w:lang w:val="ru-RU" w:eastAsia="zh-CN" w:bidi="ar-SA"/>
    </w:rPr>
  </w:style>
  <w:style w:type="paragraph" w:styleId="212" w:customStyle="1">
    <w:name w:val="Основной текст (2)1"/>
    <w:basedOn w:val="Normal"/>
    <w:link w:val="21"/>
    <w:qFormat/>
    <w:rsid w:val="00f76952"/>
    <w:pPr>
      <w:widowControl w:val="false"/>
      <w:shd w:val="clear" w:color="auto" w:fill="FFFFFF"/>
      <w:spacing w:lineRule="atLeast" w:line="240" w:before="0" w:after="240"/>
      <w:jc w:val="both"/>
    </w:pPr>
    <w:rPr>
      <w:rFonts w:ascii="Calibri" w:hAnsi="Calibri" w:eastAsia="Calibri" w:cs="" w:asciiTheme="minorHAnsi" w:cstheme="minorBidi" w:eastAsiaTheme="minorHAnsi" w:hAnsiTheme="minorHAnsi"/>
      <w:b/>
      <w:bCs/>
      <w:sz w:val="22"/>
      <w:szCs w:val="22"/>
      <w:shd w:fill="FFFFFF" w:val="clear"/>
      <w:lang w:eastAsia="en-US"/>
    </w:rPr>
  </w:style>
  <w:style w:type="paragraph" w:styleId="S1" w:customStyle="1">
    <w:name w:val="s_1"/>
    <w:basedOn w:val="Normal"/>
    <w:qFormat/>
    <w:rsid w:val="00f76952"/>
    <w:pPr>
      <w:spacing w:beforeAutospacing="1" w:afterAutospacing="1"/>
    </w:pPr>
    <w:rPr/>
  </w:style>
  <w:style w:type="paragraph" w:styleId="TableParagraph" w:customStyle="1">
    <w:name w:val="Table Paragraph"/>
    <w:basedOn w:val="Normal"/>
    <w:uiPriority w:val="1"/>
    <w:qFormat/>
    <w:rsid w:val="00f76952"/>
    <w:pPr>
      <w:widowControl w:val="false"/>
    </w:pPr>
    <w:rPr>
      <w:sz w:val="22"/>
      <w:szCs w:val="22"/>
      <w:lang w:eastAsia="en-US"/>
    </w:rPr>
  </w:style>
  <w:style w:type="paragraph" w:styleId="Style22">
    <w:name w:val="Содержимое таблицы"/>
    <w:basedOn w:val="Normal"/>
    <w:qFormat/>
    <w:pPr>
      <w:widowControl w:val="false"/>
      <w:suppressLineNumbers/>
    </w:pPr>
    <w:rPr/>
  </w:style>
  <w:style w:type="paragraph" w:styleId="Style23">
    <w:name w:val="Заголовок таблицы"/>
    <w:basedOn w:val="Style22"/>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8">
    <w:name w:val="Table Grid"/>
    <w:basedOn w:val="a1"/>
    <w:uiPriority w:val="39"/>
    <w:rsid w:val="000c493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internat_75@bk.ru%20&#1048;&#1053;&#1053;/&#1050;&#1055;&#1055;%207206062170/720601001"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621</TotalTime>
  <Application>LibreOffice/24.2.1.2$Windows_X86_64 LibreOffice_project/db4def46b0453cc22e2d0305797cf981b68ef5ac</Application>
  <AppVersion>15.0000</AppVersion>
  <Pages>9</Pages>
  <Words>4807</Words>
  <Characters>31550</Characters>
  <CharactersWithSpaces>36238</CharactersWithSpaces>
  <Paragraphs>339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2021-05-07T06:37:00Z</dcterms:created>
  <dc:creator>Пользователь</dc:creator>
  <dc:description/>
  <dc:language>ru-RU</dc:language>
  <cp:lastModifiedBy/>
  <cp:lastPrinted>2021-09-02T08:03:00Z</cp:lastPrinted>
  <dcterms:modified xsi:type="dcterms:W3CDTF">2026-10-14T17:10:25Z</dcterms:modified>
  <cp:revision>78</cp:revision>
  <dc:subject/>
  <dc:title/>
</cp:coreProperties>
</file>

<file path=docProps/custom.xml><?xml version="1.0" encoding="utf-8"?>
<Properties xmlns="http://schemas.openxmlformats.org/officeDocument/2006/custom-properties" xmlns:vt="http://schemas.openxmlformats.org/officeDocument/2006/docPropsVTypes"/>
</file>