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CF23C" w14:textId="77777777" w:rsidR="00523368" w:rsidRDefault="00523368" w:rsidP="00523368">
      <w:pPr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14:paraId="66E148EE" w14:textId="1F4A19D3" w:rsidR="00523368" w:rsidRDefault="00550981" w:rsidP="00550981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 w:rsidRPr="00550981">
        <w:rPr>
          <w:rFonts w:ascii="Times New Roman" w:hAnsi="Times New Roman"/>
          <w:b/>
          <w:bCs/>
          <w:sz w:val="24"/>
          <w:szCs w:val="24"/>
        </w:rPr>
        <w:t xml:space="preserve">на техническое обслуживание и текущий ремонт </w:t>
      </w:r>
    </w:p>
    <w:p w14:paraId="2A90F1EF" w14:textId="3E7BFEE4" w:rsidR="0086283A" w:rsidRPr="009616A8" w:rsidRDefault="0086283A" w:rsidP="00550981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дизель генератор</w:t>
      </w:r>
      <w:r w:rsidR="009616A8"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AD</w:t>
      </w:r>
      <w:r w:rsidRPr="001E0754">
        <w:rPr>
          <w:rFonts w:ascii="Times New Roman" w:hAnsi="Times New Roman"/>
          <w:b/>
          <w:bCs/>
          <w:sz w:val="24"/>
          <w:szCs w:val="24"/>
        </w:rPr>
        <w:t>40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C</w:t>
      </w:r>
      <w:r w:rsidRPr="001E0754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T</w:t>
      </w:r>
      <w:r w:rsidRPr="001E0754">
        <w:rPr>
          <w:rFonts w:ascii="Times New Roman" w:hAnsi="Times New Roman"/>
          <w:b/>
          <w:bCs/>
          <w:sz w:val="24"/>
          <w:szCs w:val="24"/>
        </w:rPr>
        <w:t>400</w:t>
      </w:r>
    </w:p>
    <w:p w14:paraId="23761684" w14:textId="77777777" w:rsidR="00550981" w:rsidRPr="00550981" w:rsidRDefault="00550981" w:rsidP="00550981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BB7CC97" w14:textId="6D0B06F5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</w:t>
      </w:r>
      <w:r w:rsidR="00D06A1E">
        <w:rPr>
          <w:rFonts w:ascii="Times New Roman" w:hAnsi="Times New Roman"/>
        </w:rPr>
        <w:t xml:space="preserve">Техническое обслуживание </w:t>
      </w:r>
      <w:r w:rsidR="001E0754">
        <w:rPr>
          <w:rFonts w:ascii="Times New Roman" w:hAnsi="Times New Roman"/>
        </w:rPr>
        <w:t>дизель генератора (</w:t>
      </w:r>
      <w:r w:rsidR="00D06A1E">
        <w:rPr>
          <w:rFonts w:ascii="Times New Roman" w:hAnsi="Times New Roman"/>
        </w:rPr>
        <w:t>ДГ</w:t>
      </w:r>
      <w:r w:rsidR="001E0754">
        <w:rPr>
          <w:rFonts w:ascii="Times New Roman" w:hAnsi="Times New Roman"/>
        </w:rPr>
        <w:t>)</w:t>
      </w:r>
      <w:r w:rsidRPr="00523368">
        <w:rPr>
          <w:rFonts w:ascii="Times New Roman" w:hAnsi="Times New Roman"/>
        </w:rPr>
        <w:t xml:space="preserve"> </w:t>
      </w:r>
      <w:r w:rsidRPr="00005BF0">
        <w:rPr>
          <w:rFonts w:ascii="Times New Roman" w:hAnsi="Times New Roman"/>
        </w:rPr>
        <w:t>производится на основании требований следующих документов:</w:t>
      </w:r>
    </w:p>
    <w:p w14:paraId="0530BFE9" w14:textId="77777777" w:rsidR="00073B8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- Инструкция по эксплуатации завода изготовителя </w:t>
      </w:r>
    </w:p>
    <w:p w14:paraId="3A3EF548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- Инструкция по эксплуатации двигателя завода изготовителя. </w:t>
      </w:r>
    </w:p>
    <w:p w14:paraId="1C54A85F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Объёмы и нормы испытаний электрооборудования (РД 34.45-51.300-97);</w:t>
      </w:r>
    </w:p>
    <w:p w14:paraId="76CBF67C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Правила технической эксплуатации электроустановок потребителей (ПТЭЭП).</w:t>
      </w:r>
    </w:p>
    <w:p w14:paraId="09BBF92C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0B52C5DC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Общая информация:</w:t>
      </w:r>
    </w:p>
    <w:p w14:paraId="017D373B" w14:textId="1E68C3AD" w:rsidR="00523368" w:rsidRPr="00D06A1E" w:rsidRDefault="00523368" w:rsidP="00523368">
      <w:r w:rsidRPr="00005BF0">
        <w:t xml:space="preserve">Тип, марка: </w:t>
      </w:r>
      <w:r>
        <w:rPr>
          <w:b/>
        </w:rPr>
        <w:t>ДГ</w:t>
      </w:r>
      <w:r w:rsidR="001E0754">
        <w:rPr>
          <w:b/>
        </w:rPr>
        <w:t xml:space="preserve"> </w:t>
      </w:r>
      <w:r w:rsidR="001E0754">
        <w:rPr>
          <w:b/>
          <w:bCs/>
          <w:sz w:val="24"/>
          <w:szCs w:val="24"/>
          <w:lang w:val="en-US"/>
        </w:rPr>
        <w:t>AD</w:t>
      </w:r>
      <w:r w:rsidR="001E0754" w:rsidRPr="001E0754">
        <w:rPr>
          <w:b/>
          <w:bCs/>
          <w:sz w:val="24"/>
          <w:szCs w:val="24"/>
        </w:rPr>
        <w:t>40</w:t>
      </w:r>
      <w:r w:rsidR="001E0754">
        <w:rPr>
          <w:b/>
          <w:bCs/>
          <w:sz w:val="24"/>
          <w:szCs w:val="24"/>
          <w:lang w:val="en-US"/>
        </w:rPr>
        <w:t>C</w:t>
      </w:r>
      <w:r w:rsidR="001E0754" w:rsidRPr="001E0754">
        <w:rPr>
          <w:b/>
          <w:bCs/>
          <w:sz w:val="24"/>
          <w:szCs w:val="24"/>
        </w:rPr>
        <w:t>-</w:t>
      </w:r>
      <w:r w:rsidR="001E0754">
        <w:rPr>
          <w:b/>
          <w:bCs/>
          <w:sz w:val="24"/>
          <w:szCs w:val="24"/>
          <w:lang w:val="en-US"/>
        </w:rPr>
        <w:t>T</w:t>
      </w:r>
      <w:r w:rsidR="001E0754" w:rsidRPr="001E0754">
        <w:rPr>
          <w:b/>
          <w:bCs/>
          <w:sz w:val="24"/>
          <w:szCs w:val="24"/>
        </w:rPr>
        <w:t>400</w:t>
      </w:r>
    </w:p>
    <w:p w14:paraId="3BBC8FA7" w14:textId="0AECC8DF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Год выпуска: 20</w:t>
      </w:r>
      <w:r w:rsidR="005B5BFB">
        <w:rPr>
          <w:rFonts w:ascii="Times New Roman" w:hAnsi="Times New Roman"/>
        </w:rPr>
        <w:t>1</w:t>
      </w:r>
      <w:r w:rsidR="001E0754">
        <w:rPr>
          <w:rFonts w:ascii="Times New Roman" w:hAnsi="Times New Roman"/>
        </w:rPr>
        <w:t>2</w:t>
      </w:r>
    </w:p>
    <w:p w14:paraId="4BDFBC81" w14:textId="5C86BD13" w:rsidR="00523368" w:rsidRPr="00005BF0" w:rsidRDefault="00073B80" w:rsidP="00523368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Ввод в эксплуатацию: </w:t>
      </w:r>
      <w:r w:rsidR="00523368" w:rsidRPr="00005BF0">
        <w:rPr>
          <w:rFonts w:ascii="Times New Roman" w:hAnsi="Times New Roman"/>
        </w:rPr>
        <w:t xml:space="preserve"> 20</w:t>
      </w:r>
      <w:r w:rsidR="005B5BFB">
        <w:rPr>
          <w:rFonts w:ascii="Times New Roman" w:hAnsi="Times New Roman"/>
        </w:rPr>
        <w:t>1</w:t>
      </w:r>
      <w:r w:rsidR="001E0754">
        <w:rPr>
          <w:rFonts w:ascii="Times New Roman" w:hAnsi="Times New Roman"/>
        </w:rPr>
        <w:t>2</w:t>
      </w:r>
    </w:p>
    <w:p w14:paraId="614F8710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42FD67B9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1. Требования к квалификации персонала подрядчика (исполнителя)</w:t>
      </w:r>
    </w:p>
    <w:p w14:paraId="0E81082A" w14:textId="38106D6D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Подрядчик (исполнитель) должен своими силами, средствами и материалами выполнить работы по техническому обслуживанию ДГ.</w:t>
      </w:r>
    </w:p>
    <w:p w14:paraId="0722F293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Персонал исполнителя должен установленным порядком проходить инструктаж в службе Охраны труда, обладать необходимыми профессиональными знаниями и опытом работ.</w:t>
      </w:r>
    </w:p>
    <w:p w14:paraId="62C0B789" w14:textId="6942BB2C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Необходимо наличие сертификата о прохождении обучения по проведению технического обслуживания ДГ.</w:t>
      </w:r>
    </w:p>
    <w:p w14:paraId="164DDD36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Необходимо наличие действующего удостоверения по электробезопасности с группой не ниже 3 (третьей) до 1000В.</w:t>
      </w:r>
    </w:p>
    <w:p w14:paraId="442C1D4F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6B6D3E7B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bCs/>
        </w:rPr>
      </w:pPr>
      <w:r w:rsidRPr="00005BF0">
        <w:rPr>
          <w:rFonts w:ascii="Times New Roman" w:hAnsi="Times New Roman"/>
          <w:bCs/>
        </w:rPr>
        <w:t xml:space="preserve">                                                 2.Требования к качеству работ:</w:t>
      </w:r>
    </w:p>
    <w:p w14:paraId="5902EC45" w14:textId="7A8EA424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  <w:color w:val="000000"/>
        </w:rPr>
        <w:t xml:space="preserve">2.1 Техническое обслуживание </w:t>
      </w:r>
      <w:r w:rsidRPr="00005BF0">
        <w:rPr>
          <w:rFonts w:ascii="Times New Roman" w:hAnsi="Times New Roman"/>
        </w:rPr>
        <w:t>дизель</w:t>
      </w:r>
      <w:r w:rsidR="001E0754">
        <w:rPr>
          <w:rFonts w:ascii="Times New Roman" w:hAnsi="Times New Roman"/>
        </w:rPr>
        <w:t xml:space="preserve"> </w:t>
      </w:r>
      <w:r w:rsidRPr="00005BF0">
        <w:rPr>
          <w:rFonts w:ascii="Times New Roman" w:hAnsi="Times New Roman"/>
        </w:rPr>
        <w:t>генератор</w:t>
      </w:r>
      <w:r w:rsidR="00996A42">
        <w:rPr>
          <w:rFonts w:ascii="Times New Roman" w:hAnsi="Times New Roman"/>
        </w:rPr>
        <w:t xml:space="preserve">а </w:t>
      </w:r>
      <w:r w:rsidRPr="00005BF0">
        <w:rPr>
          <w:rFonts w:ascii="Times New Roman" w:hAnsi="Times New Roman"/>
          <w:color w:val="000000"/>
        </w:rPr>
        <w:t>должно выполняться в соответствии с требованиями: Приказа Минэнерго РФ от 13.01.2003 N 6 «Об утверждении правил технической эксплуатации электроустановок потребителей»,</w:t>
      </w:r>
      <w:r w:rsidRPr="00005BF0">
        <w:rPr>
          <w:rFonts w:ascii="Times New Roman" w:hAnsi="Times New Roman"/>
        </w:rPr>
        <w:t xml:space="preserve"> </w:t>
      </w:r>
      <w:r w:rsidRPr="00005BF0">
        <w:rPr>
          <w:rFonts w:ascii="Times New Roman" w:hAnsi="Times New Roman"/>
          <w:color w:val="000000"/>
        </w:rPr>
        <w:t>ПОТ Р М-016-2001</w:t>
      </w:r>
      <w:r w:rsidRPr="00005BF0">
        <w:rPr>
          <w:rFonts w:ascii="Times New Roman" w:hAnsi="Times New Roman"/>
        </w:rPr>
        <w:t xml:space="preserve"> «</w:t>
      </w:r>
      <w:r w:rsidRPr="00005BF0">
        <w:rPr>
          <w:rFonts w:ascii="Times New Roman" w:hAnsi="Times New Roman"/>
          <w:color w:val="000000"/>
        </w:rPr>
        <w:t>Межотраслевые Правила по охране труда при эксплуатации электроустановок», а также инструкций завода изготовителя и другой  нормативно-технической документации.</w:t>
      </w:r>
      <w:r w:rsidRPr="00005BF0">
        <w:rPr>
          <w:rFonts w:ascii="Times New Roman" w:hAnsi="Times New Roman"/>
        </w:rPr>
        <w:t xml:space="preserve"> Требования к качеству работ устанавливаются в соответствии со статьей 721 ГК РФ, требованиями ПУЭ издание шестое. Работы также должны быть выполнены в соответствии с требованиями эксплуатирующей организации и требованиями проектной документации.</w:t>
      </w:r>
    </w:p>
    <w:p w14:paraId="602EE902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   Подрядчик обязан при выполнении работ соблюдать требования безопасности работ в соответствии, с требованиями Закона Российской Федерации от 07.02.1992  N 2300-1 «О защите прав потребителей», требованиями СНиП 3-4-80, СНиП 12-04-2002, СНиП 12-03-2001.</w:t>
      </w:r>
    </w:p>
    <w:p w14:paraId="02ADD8AF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Подрядчик обязан иметь необходимые поверенные средства измерений и испытательное оборудование.</w:t>
      </w:r>
    </w:p>
    <w:p w14:paraId="625E54B7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     Во время выполнения работ на объекте обязательно  соблюдение технологий и методик производства работ, требований экологических, санитарно-гигиенических, противопожарных и других норм, действующих на территории Российской Федерации:</w:t>
      </w:r>
    </w:p>
    <w:p w14:paraId="57E4D197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строительные нормы и правила СНиП 21-01-97 «Пожарная безопасность зданий и сооружений» (утв. Постановлением Минстроя РФ от 13.02.1997 г. №18-7 с изм. и доп. от 03.07.1999 г., 19.07.2002 г.),</w:t>
      </w:r>
    </w:p>
    <w:p w14:paraId="004967EC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  строительные нормы и правила СНиП 2.01.02-85 «Противопожарные нормы» (утв. Постановлением Госстроя СССР от 17.12.1985 г. №232),</w:t>
      </w:r>
    </w:p>
    <w:p w14:paraId="1B2488F3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  строительные нормы и правила СНиП 12-03-2001, СНиП 12-04-2002 «безопасность труда в строительстве» (утв. Постановлением Госстроя РФ от 23.07.2001 №80 и от 17.09.2002 №123),</w:t>
      </w:r>
    </w:p>
    <w:p w14:paraId="63A69F4E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строительные нормы и правила СНиП 3.05.06-85 «Электротехнические устройства» (утв. Постановлением Госстроя СССР от 11.12.1985 г. №215),</w:t>
      </w:r>
    </w:p>
    <w:p w14:paraId="0A3A5113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-  строительные нормы и правила СНиП 3.05.07-85 «Системы автоматизации» (утв. Постановлением Госстроя СССР от 18.10.1985 г. №175), </w:t>
      </w:r>
    </w:p>
    <w:p w14:paraId="7A45024B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кроме того, следует руководствоваться перечнем нормативных документов по строительству, действующих на территории Российской Федерации.  </w:t>
      </w:r>
    </w:p>
    <w:p w14:paraId="4475E085" w14:textId="382F9E82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       Обязательное выполнение необходимых мероприятий по технике безопасности (СНиП 12-03-2001), особых мероприятий по соблюдению правил пожарной безопасности (ППБ 01-03, ВППБ 13-01-94) и охране объекта переданного </w:t>
      </w:r>
      <w:r w:rsidR="00996A42">
        <w:rPr>
          <w:rFonts w:ascii="Times New Roman" w:hAnsi="Times New Roman"/>
        </w:rPr>
        <w:t>Исполнителю</w:t>
      </w:r>
      <w:r w:rsidRPr="00005BF0">
        <w:rPr>
          <w:rFonts w:ascii="Times New Roman" w:hAnsi="Times New Roman"/>
        </w:rPr>
        <w:t xml:space="preserve"> для выполнения производства работ. </w:t>
      </w:r>
    </w:p>
    <w:p w14:paraId="79333018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021D79E1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color w:val="000000"/>
        </w:rPr>
      </w:pPr>
      <w:r w:rsidRPr="00005BF0">
        <w:rPr>
          <w:rFonts w:ascii="Times New Roman" w:hAnsi="Times New Roman"/>
          <w:color w:val="000000"/>
        </w:rPr>
        <w:lastRenderedPageBreak/>
        <w:t>2.2. Все применяемые и используемые в ходе выполнения работ материалы, конструкции должны быть новыми, ранее не использующимися, должны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</w:t>
      </w:r>
    </w:p>
    <w:p w14:paraId="3FD95C78" w14:textId="135CC268" w:rsidR="00523368" w:rsidRPr="00005BF0" w:rsidRDefault="00523368" w:rsidP="00523368">
      <w:pPr>
        <w:pStyle w:val="a5"/>
        <w:jc w:val="both"/>
        <w:rPr>
          <w:rFonts w:ascii="Times New Roman" w:hAnsi="Times New Roman"/>
          <w:color w:val="000000"/>
        </w:rPr>
      </w:pPr>
      <w:r w:rsidRPr="00005BF0">
        <w:rPr>
          <w:rFonts w:ascii="Times New Roman" w:hAnsi="Times New Roman"/>
          <w:color w:val="000000"/>
        </w:rPr>
        <w:t>2.3. При выполнении работ по техническому обслуживанию ДГ Исполнитель обязан направлять квалифицированных специалистов по адрес</w:t>
      </w:r>
      <w:r w:rsidR="00996A42">
        <w:rPr>
          <w:rFonts w:ascii="Times New Roman" w:hAnsi="Times New Roman"/>
          <w:color w:val="000000"/>
        </w:rPr>
        <w:t>у</w:t>
      </w:r>
      <w:r w:rsidRPr="00005BF0">
        <w:rPr>
          <w:rFonts w:ascii="Times New Roman" w:hAnsi="Times New Roman"/>
          <w:color w:val="000000"/>
        </w:rPr>
        <w:t xml:space="preserve"> выполнения работ. Указанным в разделе «Место выполняемых работ»</w:t>
      </w:r>
    </w:p>
    <w:p w14:paraId="10BD3620" w14:textId="117809AA" w:rsidR="00523368" w:rsidRPr="00005BF0" w:rsidRDefault="00523368" w:rsidP="00523368">
      <w:pPr>
        <w:pStyle w:val="a5"/>
        <w:jc w:val="both"/>
        <w:rPr>
          <w:rFonts w:ascii="Times New Roman" w:hAnsi="Times New Roman"/>
          <w:color w:val="000000"/>
        </w:rPr>
      </w:pPr>
      <w:r w:rsidRPr="00005BF0">
        <w:rPr>
          <w:rFonts w:ascii="Times New Roman" w:hAnsi="Times New Roman"/>
          <w:color w:val="000000"/>
        </w:rPr>
        <w:t>2.4. Техническое обслуживание ДГ производится без нарушения рабочего режима и производственного процесса с соблюдением техники безопасности.</w:t>
      </w:r>
    </w:p>
    <w:p w14:paraId="45D21B87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color w:val="000000"/>
        </w:rPr>
      </w:pPr>
      <w:r w:rsidRPr="00005BF0">
        <w:rPr>
          <w:rFonts w:ascii="Times New Roman" w:hAnsi="Times New Roman"/>
          <w:color w:val="000000"/>
        </w:rPr>
        <w:t>2.5. При выполнении работ используются инструменты, расходные материалы, силы и средства Исполнителя. Исполнитель несет полную материальную ответственность за причинение ущерба имуществу Заказчика в ходе выполнения работ по вине Исполнителя.</w:t>
      </w:r>
    </w:p>
    <w:p w14:paraId="2876E2D6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color w:val="000000"/>
        </w:rPr>
      </w:pPr>
      <w:r w:rsidRPr="00005BF0">
        <w:rPr>
          <w:rFonts w:ascii="Times New Roman" w:hAnsi="Times New Roman"/>
          <w:color w:val="000000"/>
        </w:rPr>
        <w:t>2.6. Исполнитель гарантирует полную сохранность всего обслуживаемого оборудования Заказчика в ходе выполнения работ по вине Исполнителя.</w:t>
      </w:r>
    </w:p>
    <w:p w14:paraId="73E8E895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color w:val="000000"/>
        </w:rPr>
      </w:pPr>
    </w:p>
    <w:p w14:paraId="492F88DA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                                              3. Требования к выполнению работ:</w:t>
      </w:r>
    </w:p>
    <w:p w14:paraId="3FA1DC40" w14:textId="689ACCEC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3.1. Техническое обслуживание ДГ включает в себя:</w:t>
      </w:r>
    </w:p>
    <w:p w14:paraId="3F8B60E9" w14:textId="3D1F6CB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проведение периодических (регламентных) работ</w:t>
      </w:r>
      <w:r w:rsidR="00996A42">
        <w:rPr>
          <w:rFonts w:ascii="Times New Roman" w:hAnsi="Times New Roman"/>
        </w:rPr>
        <w:t xml:space="preserve"> согласно графику (Приложение 1)</w:t>
      </w:r>
      <w:r w:rsidRPr="00005BF0">
        <w:rPr>
          <w:rFonts w:ascii="Times New Roman" w:hAnsi="Times New Roman"/>
        </w:rPr>
        <w:t>;</w:t>
      </w:r>
    </w:p>
    <w:p w14:paraId="6111A66E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аварийно-ремонтные работы.</w:t>
      </w:r>
    </w:p>
    <w:p w14:paraId="7D2AB75A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bookmarkStart w:id="0" w:name="bookmark0"/>
      <w:r w:rsidRPr="00005BF0">
        <w:rPr>
          <w:rFonts w:ascii="Times New Roman" w:hAnsi="Times New Roman"/>
        </w:rPr>
        <w:t>3.2. Исполнитель обеспечивает свой персонал для выполнения работ на объекте Заказчика инструментом, вспомогательным оборудованием, расходными материалами, спецодеждой и средствами защиты.</w:t>
      </w:r>
    </w:p>
    <w:p w14:paraId="6AC8FF63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3.3. Техническое обслуживание производится на основании заявок Заказчика и графика  технического обслуживания и планово-предупредительного ремонта.</w:t>
      </w:r>
    </w:p>
    <w:p w14:paraId="3BFA775F" w14:textId="124C94C1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3.4. Графики планово-предупредительных ремонтов и технического обслуживания составляются  Исполнителем в 2-х экземплярах на календарный </w:t>
      </w:r>
      <w:r w:rsidR="00996A42">
        <w:rPr>
          <w:rFonts w:ascii="Times New Roman" w:hAnsi="Times New Roman"/>
        </w:rPr>
        <w:t>год</w:t>
      </w:r>
      <w:r w:rsidRPr="00005BF0">
        <w:rPr>
          <w:rFonts w:ascii="Times New Roman" w:hAnsi="Times New Roman"/>
        </w:rPr>
        <w:t>, и утверждается Заказчиком.</w:t>
      </w:r>
    </w:p>
    <w:p w14:paraId="12C23B7A" w14:textId="13DEFF39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3.5. Результаты осмотров и проведенных регламентных работ Исполнитель обязан отражать в документах по учету технического состояния ДГ (журнал регистрации выполненных работ по проведению технического обслуживания). В этих документах должны содержаться: оценка технического состояния ДГ, оборудования и составных частей ДГ, выявленные неисправности, места их нахождения, причины, вызвавшие эти неисправности, а также сведения о выполненных при осмотрах ремонтах.</w:t>
      </w:r>
    </w:p>
    <w:p w14:paraId="40706121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3.6. Приобретение материалов необходимых для выполнения технического обслуживания производится за счет средств Исполнителя по согласованию с Заказчиком.</w:t>
      </w:r>
    </w:p>
    <w:p w14:paraId="324B1677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3.7. Аварийно-ремонтные работы осуществляются по заявкам Заказчика в период не более шести часов после получения такой заявки.</w:t>
      </w:r>
    </w:p>
    <w:p w14:paraId="05A9A727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3.8. Аварийная бригада Исполнителя (представитель Исполнителя) обязана своевременно прибыть на место устранения аварии. </w:t>
      </w:r>
    </w:p>
    <w:p w14:paraId="587E476D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3.9. После выполнения аварийных ремонтных работ представитель Исполнителя должен сделать соответствующую запись в «Журнале  регистрации выполненных работ по проведению технического обслуживания».</w:t>
      </w:r>
    </w:p>
    <w:p w14:paraId="7F870CA4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7AFCECEE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bCs/>
        </w:rPr>
      </w:pPr>
      <w:r w:rsidRPr="00005BF0">
        <w:rPr>
          <w:rFonts w:ascii="Times New Roman" w:hAnsi="Times New Roman"/>
          <w:bCs/>
        </w:rPr>
        <w:t xml:space="preserve">                     4. Перечень регламентных работ по техническому обслуживанию</w:t>
      </w:r>
      <w:bookmarkEnd w:id="0"/>
      <w:r w:rsidRPr="00005BF0">
        <w:rPr>
          <w:rFonts w:ascii="Times New Roman" w:hAnsi="Times New Roman"/>
          <w:bCs/>
        </w:rPr>
        <w:t>:</w:t>
      </w:r>
    </w:p>
    <w:p w14:paraId="541A6251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6488"/>
        <w:gridCol w:w="2165"/>
      </w:tblGrid>
      <w:tr w:rsidR="00523368" w:rsidRPr="00005BF0" w14:paraId="064C0A4B" w14:textId="77777777" w:rsidTr="007A4973">
        <w:trPr>
          <w:trHeight w:val="570"/>
        </w:trPr>
        <w:tc>
          <w:tcPr>
            <w:tcW w:w="692" w:type="dxa"/>
            <w:vAlign w:val="center"/>
          </w:tcPr>
          <w:p w14:paraId="133AA102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6488" w:type="dxa"/>
            <w:vAlign w:val="center"/>
          </w:tcPr>
          <w:p w14:paraId="4B3F8C90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Содержание работ</w:t>
            </w:r>
          </w:p>
        </w:tc>
        <w:tc>
          <w:tcPr>
            <w:tcW w:w="2165" w:type="dxa"/>
            <w:vAlign w:val="center"/>
          </w:tcPr>
          <w:p w14:paraId="60004B0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Периодичность</w:t>
            </w:r>
          </w:p>
        </w:tc>
      </w:tr>
      <w:tr w:rsidR="00523368" w:rsidRPr="00005BF0" w14:paraId="5C344013" w14:textId="77777777" w:rsidTr="007A4973">
        <w:trPr>
          <w:trHeight w:val="279"/>
        </w:trPr>
        <w:tc>
          <w:tcPr>
            <w:tcW w:w="692" w:type="dxa"/>
            <w:vAlign w:val="center"/>
          </w:tcPr>
          <w:p w14:paraId="2E33872F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488" w:type="dxa"/>
            <w:vAlign w:val="center"/>
          </w:tcPr>
          <w:p w14:paraId="09D5E8CC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уровня охлаждающей жидкости;</w:t>
            </w:r>
          </w:p>
          <w:p w14:paraId="6E50A1F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уровня масла в двигателе;</w:t>
            </w:r>
          </w:p>
          <w:p w14:paraId="266261F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системы охлаждения и ее радиатора (наличие утечек, осмотр и проверка крепления вентилятора, трубопроводов контура охлаждения);</w:t>
            </w:r>
          </w:p>
          <w:p w14:paraId="2755F80F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Очистка радиатора системы охлаждения;</w:t>
            </w:r>
          </w:p>
          <w:p w14:paraId="281A266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наличия воды в фильтре предварительной очистки топлива;</w:t>
            </w:r>
          </w:p>
          <w:p w14:paraId="0E40E84F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Внешний осмотр электрической части агрегата (состояние кожуха, наличие подтеков, крепление силовых кабелей);</w:t>
            </w:r>
          </w:p>
          <w:p w14:paraId="6B1CE7D4" w14:textId="6CF1DFFB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Внешний осмотр стартерной аккумуляторной батареи (АКБ) ДГ (наличие трещин, подтеков состояние клемм, подводящих кабелей), проверка уровня электролита (для негерметичных АКБ);</w:t>
            </w:r>
          </w:p>
          <w:p w14:paraId="4EF694A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lastRenderedPageBreak/>
              <w:t>- Проверка приводного ремня на наличие трещин, потертостей, расслоений, замена при необходимости;</w:t>
            </w:r>
          </w:p>
          <w:p w14:paraId="64B155AE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плотности затяжки соединений и хомутов;</w:t>
            </w:r>
          </w:p>
          <w:p w14:paraId="0230E8F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 xml:space="preserve">- Контрольный запуск электроагрегата в холостом режиме, не более 5 мин. При контрольном запуске проверяют уровень давления масла, отсутствие необычной вибрации, параметры генератора проверяют через панель управления;       </w:t>
            </w:r>
          </w:p>
          <w:p w14:paraId="29658BF8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Проверка, срабатывания электрических жалюзи приточной вентиляции на открытие, произвести их ремонт;</w:t>
            </w:r>
          </w:p>
          <w:p w14:paraId="37B76CD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Отметка в журнале о проведенных работах.</w:t>
            </w:r>
          </w:p>
        </w:tc>
        <w:tc>
          <w:tcPr>
            <w:tcW w:w="2165" w:type="dxa"/>
            <w:vAlign w:val="center"/>
          </w:tcPr>
          <w:p w14:paraId="12D6F9A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kern w:val="1"/>
                <w:lang w:eastAsia="ar-SA"/>
              </w:rPr>
              <w:lastRenderedPageBreak/>
              <w:t>2</w:t>
            </w:r>
            <w:r w:rsidRPr="00005BF0">
              <w:rPr>
                <w:rFonts w:ascii="Times New Roman" w:hAnsi="Times New Roman"/>
                <w:kern w:val="1"/>
                <w:lang w:eastAsia="ar-SA"/>
              </w:rPr>
              <w:t xml:space="preserve"> раза в месяц</w:t>
            </w:r>
          </w:p>
        </w:tc>
      </w:tr>
      <w:tr w:rsidR="00523368" w:rsidRPr="00005BF0" w14:paraId="4C1F7007" w14:textId="77777777" w:rsidTr="007A4973">
        <w:trPr>
          <w:trHeight w:val="279"/>
        </w:trPr>
        <w:tc>
          <w:tcPr>
            <w:tcW w:w="692" w:type="dxa"/>
            <w:vAlign w:val="center"/>
          </w:tcPr>
          <w:p w14:paraId="5B8B12E2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488" w:type="dxa"/>
            <w:vAlign w:val="center"/>
          </w:tcPr>
          <w:p w14:paraId="01605D38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Проверка степени засорения воздушных фильтров (замена при необходимости);</w:t>
            </w:r>
          </w:p>
          <w:p w14:paraId="68E4DD2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Проверка и регулировка режима холостого хода;</w:t>
            </w:r>
          </w:p>
          <w:p w14:paraId="2F04D04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Проверка и при необходимости регулировка блока AVR (автоматический регулятор напряжения);</w:t>
            </w:r>
          </w:p>
          <w:p w14:paraId="66B7E293" w14:textId="07D11605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 xml:space="preserve">- Контрольный запуск электроагрегата и поставка его под нагрузку на 60 мин. Проверка производится с имитацией пропадания двух вводов о ТП, проверяется срабатывание АВР-ТП, АВР-ДГ и сигнал запуска ДГ. Проверка автоматики отключения ДГ после восстановления питания, двух минутное охлаждение на холостом ходу после снятия нагрузки. При работе </w:t>
            </w:r>
            <w:proofErr w:type="spellStart"/>
            <w:r w:rsidRPr="00005BF0">
              <w:rPr>
                <w:rFonts w:ascii="Times New Roman" w:hAnsi="Times New Roman"/>
                <w:kern w:val="1"/>
                <w:lang w:eastAsia="ar-SA"/>
              </w:rPr>
              <w:t>электроагегата</w:t>
            </w:r>
            <w:proofErr w:type="spellEnd"/>
            <w:r w:rsidRPr="00005BF0">
              <w:rPr>
                <w:rFonts w:ascii="Times New Roman" w:hAnsi="Times New Roman"/>
                <w:kern w:val="1"/>
                <w:lang w:eastAsia="ar-SA"/>
              </w:rPr>
              <w:t xml:space="preserve"> проверяются уровень давления масла, отсутствие необычной вибрации, параметры генератора проверяются через панель управления.</w:t>
            </w:r>
          </w:p>
          <w:p w14:paraId="377C21FB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Отметка в журнале о проведенных работах.</w:t>
            </w:r>
          </w:p>
        </w:tc>
        <w:tc>
          <w:tcPr>
            <w:tcW w:w="2165" w:type="dxa"/>
            <w:vAlign w:val="center"/>
          </w:tcPr>
          <w:p w14:paraId="3030685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1 раз в месяц</w:t>
            </w:r>
          </w:p>
        </w:tc>
      </w:tr>
      <w:tr w:rsidR="00523368" w:rsidRPr="00005BF0" w14:paraId="7CE8499F" w14:textId="77777777" w:rsidTr="007A4973">
        <w:trPr>
          <w:trHeight w:val="279"/>
        </w:trPr>
        <w:tc>
          <w:tcPr>
            <w:tcW w:w="692" w:type="dxa"/>
            <w:vAlign w:val="center"/>
          </w:tcPr>
          <w:p w14:paraId="6D198CA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488" w:type="dxa"/>
            <w:vAlign w:val="center"/>
          </w:tcPr>
          <w:p w14:paraId="0835501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Замена фильтрующего элемента топливного фильтра;</w:t>
            </w:r>
          </w:p>
          <w:p w14:paraId="004E340A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Замена воздушного фильтра (при необходимости);</w:t>
            </w:r>
          </w:p>
          <w:p w14:paraId="532F012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Замена моторного масла;</w:t>
            </w:r>
          </w:p>
          <w:p w14:paraId="4D4C24B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Замена масляных фильтров;</w:t>
            </w:r>
          </w:p>
          <w:p w14:paraId="7D2A3A4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системы отвода картерных газов;</w:t>
            </w:r>
          </w:p>
          <w:p w14:paraId="580AAAE8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степени зарядки аккумулятора и состояние соединений;</w:t>
            </w:r>
          </w:p>
          <w:p w14:paraId="2C4B5C8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состояния кабелей и соединений силовой системы;</w:t>
            </w:r>
          </w:p>
          <w:p w14:paraId="62295D2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Очистка от пыли генераторной установки и панели управления внутреннего помещения;</w:t>
            </w:r>
          </w:p>
          <w:p w14:paraId="67E70D7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панели системы управления (индикация, работоспособность в соответствии с руководством пользователя);</w:t>
            </w:r>
          </w:p>
          <w:p w14:paraId="25FC4A7A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Проверка зазоров в клапанном механизме (регулировка при необходимости);</w:t>
            </w:r>
          </w:p>
          <w:p w14:paraId="5AC1DF4B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Измерение температуры контактных соединений, производится при контрольном запуске электроагрегата при работе на нагрузку;</w:t>
            </w:r>
          </w:p>
          <w:p w14:paraId="5AA02A32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Замена охлаждающей жидкости;</w:t>
            </w:r>
          </w:p>
          <w:p w14:paraId="4D7F93DC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- Отметка в журнале о проведенных работах.</w:t>
            </w:r>
          </w:p>
        </w:tc>
        <w:tc>
          <w:tcPr>
            <w:tcW w:w="2165" w:type="dxa"/>
            <w:vAlign w:val="center"/>
          </w:tcPr>
          <w:p w14:paraId="325834A4" w14:textId="77777777" w:rsidR="00523368" w:rsidRPr="00005BF0" w:rsidRDefault="00523368" w:rsidP="00523368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 xml:space="preserve">1 раз в </w:t>
            </w:r>
            <w:r>
              <w:rPr>
                <w:rFonts w:ascii="Times New Roman" w:hAnsi="Times New Roman"/>
                <w:kern w:val="1"/>
                <w:lang w:eastAsia="ar-SA"/>
              </w:rPr>
              <w:t xml:space="preserve">6 </w:t>
            </w:r>
            <w:r w:rsidRPr="00005BF0">
              <w:rPr>
                <w:rFonts w:ascii="Times New Roman" w:hAnsi="Times New Roman"/>
                <w:kern w:val="1"/>
                <w:lang w:eastAsia="ar-SA"/>
              </w:rPr>
              <w:t>месяц</w:t>
            </w:r>
            <w:r>
              <w:rPr>
                <w:rFonts w:ascii="Times New Roman" w:hAnsi="Times New Roman"/>
                <w:kern w:val="1"/>
                <w:lang w:eastAsia="ar-SA"/>
              </w:rPr>
              <w:t>ев</w:t>
            </w:r>
            <w:r w:rsidRPr="00005BF0">
              <w:rPr>
                <w:rFonts w:ascii="Times New Roman" w:hAnsi="Times New Roman"/>
                <w:kern w:val="1"/>
                <w:lang w:eastAsia="ar-SA"/>
              </w:rPr>
              <w:t xml:space="preserve"> или при наработке 500 моточасов</w:t>
            </w:r>
          </w:p>
        </w:tc>
      </w:tr>
      <w:tr w:rsidR="00523368" w:rsidRPr="00005BF0" w14:paraId="294AA4F6" w14:textId="77777777" w:rsidTr="007A4973">
        <w:trPr>
          <w:trHeight w:val="292"/>
        </w:trPr>
        <w:tc>
          <w:tcPr>
            <w:tcW w:w="692" w:type="dxa"/>
            <w:vAlign w:val="center"/>
          </w:tcPr>
          <w:p w14:paraId="765D54F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488" w:type="dxa"/>
            <w:vAlign w:val="center"/>
          </w:tcPr>
          <w:p w14:paraId="7592746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Проверка состояния зарядного генератора, стартера;</w:t>
            </w:r>
          </w:p>
          <w:p w14:paraId="0E88956C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Проверка состояния форсунок, насос-форсунок.</w:t>
            </w:r>
          </w:p>
        </w:tc>
        <w:tc>
          <w:tcPr>
            <w:tcW w:w="2165" w:type="dxa"/>
            <w:vAlign w:val="center"/>
          </w:tcPr>
          <w:p w14:paraId="28D90968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При наработке 1000 моточасов</w:t>
            </w:r>
          </w:p>
        </w:tc>
      </w:tr>
      <w:tr w:rsidR="00523368" w:rsidRPr="00005BF0" w14:paraId="470DE963" w14:textId="77777777" w:rsidTr="007A4973">
        <w:trPr>
          <w:trHeight w:val="292"/>
        </w:trPr>
        <w:tc>
          <w:tcPr>
            <w:tcW w:w="692" w:type="dxa"/>
            <w:vAlign w:val="center"/>
          </w:tcPr>
          <w:p w14:paraId="2FA7447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 w:rsidRPr="00005BF0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488" w:type="dxa"/>
            <w:vAlign w:val="center"/>
          </w:tcPr>
          <w:p w14:paraId="3EFA4D91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- Проверка работоспособности системы вентиляции и при необходимости произвести её ремонт, замену и настройку.</w:t>
            </w:r>
          </w:p>
        </w:tc>
        <w:tc>
          <w:tcPr>
            <w:tcW w:w="2165" w:type="dxa"/>
            <w:vAlign w:val="center"/>
          </w:tcPr>
          <w:p w14:paraId="237E805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</w:p>
        </w:tc>
      </w:tr>
      <w:tr w:rsidR="00523368" w:rsidRPr="00005BF0" w14:paraId="16DBE8C1" w14:textId="77777777" w:rsidTr="007A4973">
        <w:trPr>
          <w:trHeight w:val="292"/>
        </w:trPr>
        <w:tc>
          <w:tcPr>
            <w:tcW w:w="692" w:type="dxa"/>
            <w:vAlign w:val="center"/>
          </w:tcPr>
          <w:p w14:paraId="7BBF50C1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488" w:type="dxa"/>
            <w:vAlign w:val="center"/>
          </w:tcPr>
          <w:p w14:paraId="7589FB7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>
              <w:rPr>
                <w:rFonts w:ascii="Times New Roman" w:hAnsi="Times New Roman"/>
                <w:kern w:val="1"/>
                <w:lang w:eastAsia="ar-SA"/>
              </w:rPr>
              <w:t>- Проверка работоспособности подогревателя охлаждающей жидкости, при необходимости его замена</w:t>
            </w:r>
          </w:p>
        </w:tc>
        <w:tc>
          <w:tcPr>
            <w:tcW w:w="2165" w:type="dxa"/>
            <w:vAlign w:val="center"/>
          </w:tcPr>
          <w:p w14:paraId="4981E28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</w:p>
        </w:tc>
      </w:tr>
    </w:tbl>
    <w:p w14:paraId="0D7CDED3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                                            </w:t>
      </w:r>
    </w:p>
    <w:p w14:paraId="0A7D0CA9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5. Порядок сдачи и приемки результата работ:</w:t>
      </w:r>
    </w:p>
    <w:p w14:paraId="7A5B7839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5.1. Приемка выполненных работ производится путем подписания Акта выполненных работ уполномоченным представителем  Исполнителя и Заказчика ежемесячно.</w:t>
      </w:r>
    </w:p>
    <w:p w14:paraId="222011D4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5.2. Заказчик в течение 3 (трех) рабочих дней со дня получения Акта о приемке выполненных работ обязан направить Исполнителю один экземпляр подписанного Заказчиком Акта о приемке выполненных работ либо в указанный срок направляет в адрес Исполнителя мотивированный отказ от подписания Акта выполненных работ.</w:t>
      </w:r>
    </w:p>
    <w:p w14:paraId="4358B3E1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5.3. В случае мотивированного отказа Исполнитель обязан устранить указанные недостатки  в течение 3 (трех) рабочих дней с момента его уведомления.</w:t>
      </w:r>
    </w:p>
    <w:p w14:paraId="3CF98B9D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lastRenderedPageBreak/>
        <w:t>5.4. В акте выполненных работ должен быть отражен весь объем выполненной работы с указанием наименования  выполненной работы и общей стоимости.</w:t>
      </w:r>
    </w:p>
    <w:p w14:paraId="4C6DEDCF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5.5. Для проверки соответствия качества выполненных работ, установленных  Контрактом, Заказчик вправе привлекать независимых экспертов.</w:t>
      </w:r>
    </w:p>
    <w:p w14:paraId="30490DFE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5.6. Работы считаются принятыми с момента подписания сторонами Акта о приемке выполненных работ, при отсутствии у Заказчика претензий по количеству и качеству выполненных работ. </w:t>
      </w:r>
    </w:p>
    <w:p w14:paraId="7DAAA369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5.7. Гарантийный срок на выполненные работы по техническому обслуживанию ДГУ, при условии строгого соблюдения правил эксплуатации оборудования, установленных нормативной и технической документацией – 3 месяца с момента подписания акта приемки выполненных работ.</w:t>
      </w:r>
    </w:p>
    <w:p w14:paraId="164BE0B1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77F7AF5A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740F13B7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                   6. Показатели, позволяющие определить соответствие закупаемых товаров, используемых при выполнении работ, установленным заказчиком требованиям.</w:t>
      </w:r>
    </w:p>
    <w:p w14:paraId="017455C9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 xml:space="preserve"> При выполнении работ должны использоваться следующие материалы: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"/>
        <w:gridCol w:w="1682"/>
        <w:gridCol w:w="3347"/>
        <w:gridCol w:w="2292"/>
        <w:gridCol w:w="2239"/>
      </w:tblGrid>
      <w:tr w:rsidR="00523368" w:rsidRPr="00005BF0" w14:paraId="795F9A96" w14:textId="77777777" w:rsidTr="007A4973">
        <w:trPr>
          <w:trHeight w:val="289"/>
        </w:trPr>
        <w:tc>
          <w:tcPr>
            <w:tcW w:w="175" w:type="pct"/>
            <w:shd w:val="clear" w:color="auto" w:fill="FFFFFF"/>
            <w:vAlign w:val="center"/>
          </w:tcPr>
          <w:p w14:paraId="670BAEB3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№ п/п</w:t>
            </w:r>
          </w:p>
        </w:tc>
        <w:tc>
          <w:tcPr>
            <w:tcW w:w="849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639E91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Наименование</w:t>
            </w:r>
            <w:r w:rsidRPr="00005BF0">
              <w:rPr>
                <w:rFonts w:ascii="Times New Roman" w:hAnsi="Times New Roman"/>
              </w:rPr>
              <w:br/>
              <w:t>товара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6AFD10D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  <w:kern w:val="1"/>
                <w:lang w:eastAsia="ar-SA"/>
              </w:rPr>
            </w:pPr>
            <w:r w:rsidRPr="00005BF0">
              <w:rPr>
                <w:rFonts w:ascii="Times New Roman" w:hAnsi="Times New Roman"/>
                <w:kern w:val="1"/>
                <w:lang w:eastAsia="ar-SA"/>
              </w:rPr>
              <w:t>Показатель, единица измерения (при наличии)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11F3B452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Значение показателя</w:t>
            </w:r>
          </w:p>
        </w:tc>
        <w:tc>
          <w:tcPr>
            <w:tcW w:w="1130" w:type="pct"/>
            <w:shd w:val="clear" w:color="auto" w:fill="FFFFFF"/>
            <w:vAlign w:val="center"/>
          </w:tcPr>
          <w:p w14:paraId="4D596409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Количество</w:t>
            </w:r>
          </w:p>
        </w:tc>
      </w:tr>
      <w:tr w:rsidR="00523368" w:rsidRPr="00005BF0" w14:paraId="3741492D" w14:textId="77777777" w:rsidTr="007A4973">
        <w:trPr>
          <w:trHeight w:val="390"/>
        </w:trPr>
        <w:tc>
          <w:tcPr>
            <w:tcW w:w="175" w:type="pct"/>
            <w:vMerge w:val="restart"/>
            <w:shd w:val="clear" w:color="auto" w:fill="FFFFFF"/>
            <w:vAlign w:val="center"/>
          </w:tcPr>
          <w:p w14:paraId="63BA6D38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1</w:t>
            </w:r>
          </w:p>
        </w:tc>
        <w:tc>
          <w:tcPr>
            <w:tcW w:w="84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FCD99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Масло моторное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5C33F39B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Класс вязкости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5015704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523368">
              <w:rPr>
                <w:rFonts w:ascii="Times New Roman" w:hAnsi="Times New Roman"/>
              </w:rPr>
              <w:t>SAE 15W40 / 10W30</w:t>
            </w:r>
          </w:p>
        </w:tc>
        <w:tc>
          <w:tcPr>
            <w:tcW w:w="1130" w:type="pct"/>
            <w:vMerge w:val="restart"/>
            <w:shd w:val="clear" w:color="auto" w:fill="FFFFFF"/>
            <w:vAlign w:val="center"/>
          </w:tcPr>
          <w:p w14:paraId="61814502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523368" w:rsidRPr="00005BF0" w14:paraId="74BE6971" w14:textId="77777777" w:rsidTr="007A4973">
        <w:trPr>
          <w:trHeight w:val="390"/>
        </w:trPr>
        <w:tc>
          <w:tcPr>
            <w:tcW w:w="175" w:type="pct"/>
            <w:vMerge/>
            <w:shd w:val="clear" w:color="auto" w:fill="FFFFFF"/>
            <w:vAlign w:val="center"/>
          </w:tcPr>
          <w:p w14:paraId="5EA108F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84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2E16F0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1689" w:type="pct"/>
            <w:shd w:val="clear" w:color="auto" w:fill="FFFFFF"/>
            <w:vAlign w:val="center"/>
          </w:tcPr>
          <w:p w14:paraId="7D6D391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Синтетическое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6233B6CA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 xml:space="preserve">Соответствие </w:t>
            </w:r>
          </w:p>
        </w:tc>
        <w:tc>
          <w:tcPr>
            <w:tcW w:w="1130" w:type="pct"/>
            <w:vMerge/>
            <w:shd w:val="clear" w:color="auto" w:fill="FFFFFF"/>
            <w:vAlign w:val="center"/>
          </w:tcPr>
          <w:p w14:paraId="74F84D6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  <w:tr w:rsidR="00523368" w:rsidRPr="00005BF0" w14:paraId="13E5E270" w14:textId="77777777" w:rsidTr="007A4973">
        <w:trPr>
          <w:trHeight w:val="289"/>
        </w:trPr>
        <w:tc>
          <w:tcPr>
            <w:tcW w:w="175" w:type="pct"/>
            <w:vMerge w:val="restart"/>
            <w:shd w:val="clear" w:color="auto" w:fill="FFFFFF"/>
            <w:vAlign w:val="center"/>
          </w:tcPr>
          <w:p w14:paraId="47E00C29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2</w:t>
            </w:r>
          </w:p>
        </w:tc>
        <w:tc>
          <w:tcPr>
            <w:tcW w:w="84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93F6153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Антифриз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0F85A49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Цвет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1507FD0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зеленый</w:t>
            </w:r>
          </w:p>
        </w:tc>
        <w:tc>
          <w:tcPr>
            <w:tcW w:w="1130" w:type="pct"/>
            <w:vMerge w:val="restart"/>
            <w:shd w:val="clear" w:color="auto" w:fill="FFFFFF"/>
            <w:vAlign w:val="center"/>
          </w:tcPr>
          <w:p w14:paraId="6E8232DB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005BF0">
              <w:rPr>
                <w:rFonts w:ascii="Times New Roman" w:hAnsi="Times New Roman"/>
              </w:rPr>
              <w:t>л</w:t>
            </w:r>
          </w:p>
        </w:tc>
      </w:tr>
      <w:tr w:rsidR="00523368" w:rsidRPr="00005BF0" w14:paraId="71269CFC" w14:textId="77777777" w:rsidTr="007A4973">
        <w:trPr>
          <w:trHeight w:val="289"/>
        </w:trPr>
        <w:tc>
          <w:tcPr>
            <w:tcW w:w="175" w:type="pct"/>
            <w:vMerge/>
            <w:shd w:val="clear" w:color="auto" w:fill="FFFFFF"/>
            <w:vAlign w:val="center"/>
          </w:tcPr>
          <w:p w14:paraId="752CA54C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84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CCE40CE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1689" w:type="pct"/>
            <w:shd w:val="clear" w:color="auto" w:fill="FFFFFF"/>
            <w:vAlign w:val="center"/>
          </w:tcPr>
          <w:p w14:paraId="1F9903C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Активное вещество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4C324361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этиленгликоль</w:t>
            </w:r>
          </w:p>
        </w:tc>
        <w:tc>
          <w:tcPr>
            <w:tcW w:w="1130" w:type="pct"/>
            <w:vMerge/>
            <w:shd w:val="clear" w:color="auto" w:fill="FFFFFF"/>
            <w:vAlign w:val="center"/>
          </w:tcPr>
          <w:p w14:paraId="3F4FBD8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  <w:tr w:rsidR="00523368" w:rsidRPr="00005BF0" w14:paraId="6AA4D714" w14:textId="77777777" w:rsidTr="007A4973">
        <w:trPr>
          <w:trHeight w:val="351"/>
        </w:trPr>
        <w:tc>
          <w:tcPr>
            <w:tcW w:w="175" w:type="pct"/>
            <w:vMerge/>
            <w:shd w:val="clear" w:color="auto" w:fill="FFFFFF"/>
            <w:vAlign w:val="center"/>
          </w:tcPr>
          <w:p w14:paraId="7161718B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84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24DE76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1689" w:type="pct"/>
            <w:shd w:val="clear" w:color="auto" w:fill="FFFFFF"/>
            <w:vAlign w:val="center"/>
          </w:tcPr>
          <w:p w14:paraId="41B2D7F2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Температура замерзания, °C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051338FB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-65 до -35</w:t>
            </w:r>
          </w:p>
        </w:tc>
        <w:tc>
          <w:tcPr>
            <w:tcW w:w="1130" w:type="pct"/>
            <w:vMerge/>
            <w:shd w:val="clear" w:color="auto" w:fill="FFFFFF"/>
            <w:vAlign w:val="center"/>
          </w:tcPr>
          <w:p w14:paraId="4D7DB56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  <w:tr w:rsidR="00523368" w:rsidRPr="00005BF0" w14:paraId="3A33FF33" w14:textId="77777777" w:rsidTr="007A4973">
        <w:trPr>
          <w:trHeight w:val="289"/>
        </w:trPr>
        <w:tc>
          <w:tcPr>
            <w:tcW w:w="175" w:type="pct"/>
            <w:vMerge w:val="restart"/>
            <w:shd w:val="clear" w:color="auto" w:fill="FFFFFF"/>
            <w:vAlign w:val="center"/>
          </w:tcPr>
          <w:p w14:paraId="50DC0FFA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3</w:t>
            </w:r>
          </w:p>
        </w:tc>
        <w:tc>
          <w:tcPr>
            <w:tcW w:w="849" w:type="pct"/>
            <w:vMerge w:val="restar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55DD160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Фильтр масляный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1B36046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Эффективность фильтрации, %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0253A390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99</w:t>
            </w:r>
          </w:p>
        </w:tc>
        <w:tc>
          <w:tcPr>
            <w:tcW w:w="1130" w:type="pct"/>
            <w:vMerge w:val="restart"/>
            <w:shd w:val="clear" w:color="auto" w:fill="FFFFFF"/>
            <w:vAlign w:val="center"/>
          </w:tcPr>
          <w:p w14:paraId="5DB66B01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005BF0">
              <w:rPr>
                <w:rFonts w:ascii="Times New Roman" w:hAnsi="Times New Roman"/>
              </w:rPr>
              <w:t xml:space="preserve"> </w:t>
            </w:r>
            <w:proofErr w:type="spellStart"/>
            <w:r w:rsidRPr="00005BF0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523368" w:rsidRPr="00005BF0" w14:paraId="07CD22C3" w14:textId="77777777" w:rsidTr="007A4973">
        <w:trPr>
          <w:trHeight w:val="289"/>
        </w:trPr>
        <w:tc>
          <w:tcPr>
            <w:tcW w:w="175" w:type="pct"/>
            <w:vMerge/>
            <w:shd w:val="clear" w:color="auto" w:fill="FFFFFF"/>
            <w:vAlign w:val="center"/>
          </w:tcPr>
          <w:p w14:paraId="77D21F5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849" w:type="pct"/>
            <w:vMerge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3094850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  <w:tc>
          <w:tcPr>
            <w:tcW w:w="1689" w:type="pct"/>
            <w:shd w:val="clear" w:color="auto" w:fill="FFFFFF"/>
            <w:vAlign w:val="center"/>
          </w:tcPr>
          <w:p w14:paraId="2627FAB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Размер фильтрующих частиц, микрон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66C9BCD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20</w:t>
            </w:r>
          </w:p>
        </w:tc>
        <w:tc>
          <w:tcPr>
            <w:tcW w:w="1130" w:type="pct"/>
            <w:vMerge/>
            <w:shd w:val="clear" w:color="auto" w:fill="FFFFFF"/>
            <w:vAlign w:val="center"/>
          </w:tcPr>
          <w:p w14:paraId="645E115E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  <w:tr w:rsidR="00523368" w:rsidRPr="00005BF0" w14:paraId="471738D8" w14:textId="77777777" w:rsidTr="007A4973">
        <w:trPr>
          <w:trHeight w:val="289"/>
        </w:trPr>
        <w:tc>
          <w:tcPr>
            <w:tcW w:w="175" w:type="pct"/>
            <w:shd w:val="clear" w:color="auto" w:fill="FFFFFF"/>
            <w:vAlign w:val="center"/>
          </w:tcPr>
          <w:p w14:paraId="63BB3D9F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4</w:t>
            </w:r>
          </w:p>
        </w:tc>
        <w:tc>
          <w:tcPr>
            <w:tcW w:w="849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137F21A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Фильтр воздушный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7A4F9427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Эффективность фильтрации, %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59F38BA9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99,90</w:t>
            </w:r>
          </w:p>
        </w:tc>
        <w:tc>
          <w:tcPr>
            <w:tcW w:w="1130" w:type="pct"/>
            <w:shd w:val="clear" w:color="auto" w:fill="FFFFFF"/>
            <w:vAlign w:val="center"/>
          </w:tcPr>
          <w:p w14:paraId="6F41B705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 xml:space="preserve">1 </w:t>
            </w:r>
            <w:proofErr w:type="spellStart"/>
            <w:r w:rsidRPr="00005BF0">
              <w:rPr>
                <w:rFonts w:ascii="Times New Roman" w:hAnsi="Times New Roman"/>
              </w:rPr>
              <w:t>шт</w:t>
            </w:r>
            <w:proofErr w:type="spellEnd"/>
          </w:p>
        </w:tc>
      </w:tr>
      <w:tr w:rsidR="00523368" w:rsidRPr="00005BF0" w14:paraId="305E06F6" w14:textId="77777777" w:rsidTr="007A4973">
        <w:trPr>
          <w:trHeight w:val="289"/>
        </w:trPr>
        <w:tc>
          <w:tcPr>
            <w:tcW w:w="175" w:type="pct"/>
            <w:shd w:val="clear" w:color="auto" w:fill="FFFFFF"/>
            <w:vAlign w:val="center"/>
          </w:tcPr>
          <w:p w14:paraId="60ECA463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5</w:t>
            </w:r>
          </w:p>
        </w:tc>
        <w:tc>
          <w:tcPr>
            <w:tcW w:w="849" w:type="pct"/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6B55B6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Фильтр топливный</w:t>
            </w:r>
          </w:p>
        </w:tc>
        <w:tc>
          <w:tcPr>
            <w:tcW w:w="1689" w:type="pct"/>
            <w:shd w:val="clear" w:color="auto" w:fill="FFFFFF"/>
            <w:vAlign w:val="center"/>
          </w:tcPr>
          <w:p w14:paraId="3DC40899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Давление, МПа</w:t>
            </w:r>
          </w:p>
        </w:tc>
        <w:tc>
          <w:tcPr>
            <w:tcW w:w="1157" w:type="pct"/>
            <w:shd w:val="clear" w:color="auto" w:fill="FFFFFF"/>
            <w:vAlign w:val="center"/>
          </w:tcPr>
          <w:p w14:paraId="248ABB90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 w:rsidRPr="00005BF0">
              <w:rPr>
                <w:rFonts w:ascii="Times New Roman" w:hAnsi="Times New Roman"/>
              </w:rPr>
              <w:t>0,04-0,12</w:t>
            </w:r>
          </w:p>
        </w:tc>
        <w:tc>
          <w:tcPr>
            <w:tcW w:w="1130" w:type="pct"/>
            <w:shd w:val="clear" w:color="auto" w:fill="FFFFFF"/>
            <w:vAlign w:val="center"/>
          </w:tcPr>
          <w:p w14:paraId="794A3EF4" w14:textId="77777777" w:rsidR="00523368" w:rsidRPr="00005BF0" w:rsidRDefault="00523368" w:rsidP="007A4973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005BF0">
              <w:rPr>
                <w:rFonts w:ascii="Times New Roman" w:hAnsi="Times New Roman"/>
              </w:rPr>
              <w:t xml:space="preserve"> </w:t>
            </w:r>
            <w:proofErr w:type="spellStart"/>
            <w:r w:rsidRPr="00005BF0">
              <w:rPr>
                <w:rFonts w:ascii="Times New Roman" w:hAnsi="Times New Roman"/>
              </w:rPr>
              <w:t>шт</w:t>
            </w:r>
            <w:proofErr w:type="spellEnd"/>
          </w:p>
        </w:tc>
      </w:tr>
    </w:tbl>
    <w:p w14:paraId="223DC9A2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</w:p>
    <w:p w14:paraId="376D2385" w14:textId="0055B60A" w:rsidR="00523368" w:rsidRPr="00005BF0" w:rsidRDefault="00523368" w:rsidP="00523368">
      <w:pPr>
        <w:pStyle w:val="a5"/>
        <w:jc w:val="both"/>
        <w:rPr>
          <w:rFonts w:ascii="Times New Roman" w:hAnsi="Times New Roman"/>
          <w:color w:val="2D2D2D"/>
          <w:spacing w:val="2"/>
        </w:rPr>
      </w:pPr>
      <w:r w:rsidRPr="00005BF0">
        <w:rPr>
          <w:rFonts w:ascii="Times New Roman" w:hAnsi="Times New Roman"/>
        </w:rPr>
        <w:t>Примечание: при составлении технического задания использовались ГОСТ 17479.1-85 «</w:t>
      </w:r>
      <w:r w:rsidRPr="00005BF0">
        <w:rPr>
          <w:rFonts w:ascii="Times New Roman" w:hAnsi="Times New Roman"/>
          <w:color w:val="2D2D2D"/>
          <w:spacing w:val="2"/>
        </w:rPr>
        <w:t xml:space="preserve">Масла моторные. Классификация и обозначение», </w:t>
      </w:r>
      <w:r w:rsidRPr="00005BF0">
        <w:rPr>
          <w:rFonts w:ascii="Times New Roman" w:hAnsi="Times New Roman"/>
        </w:rPr>
        <w:t xml:space="preserve">ГОСТ 4548-1-2009 «Методы испытаний </w:t>
      </w:r>
      <w:r w:rsidR="00996A42" w:rsidRPr="00005BF0">
        <w:rPr>
          <w:rFonts w:ascii="Times New Roman" w:hAnsi="Times New Roman"/>
        </w:rPr>
        <w:t>полно поточных</w:t>
      </w:r>
      <w:r w:rsidRPr="00005BF0">
        <w:rPr>
          <w:rFonts w:ascii="Times New Roman" w:hAnsi="Times New Roman"/>
        </w:rPr>
        <w:t xml:space="preserve"> масляных фильтров двигателей внутреннего сгорания», ГОСТ 14146-88 «</w:t>
      </w:r>
      <w:r w:rsidRPr="00005BF0">
        <w:rPr>
          <w:rFonts w:ascii="Times New Roman" w:hAnsi="Times New Roman"/>
          <w:color w:val="2D2D2D"/>
          <w:spacing w:val="2"/>
        </w:rPr>
        <w:t>Фильтры очистки топлива дизелей. Общие технические условия».</w:t>
      </w:r>
    </w:p>
    <w:p w14:paraId="70F86CB8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  <w:color w:val="FF0000"/>
        </w:rPr>
      </w:pPr>
      <w:r w:rsidRPr="00005BF0">
        <w:rPr>
          <w:rFonts w:ascii="Times New Roman" w:hAnsi="Times New Roman"/>
        </w:rPr>
        <w:t>7. Порядок опробования работы станций на холостом ходу и под нагрузкой после проведения технического обслуживания</w:t>
      </w:r>
    </w:p>
    <w:p w14:paraId="056FD305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7.1. Пробный пуск станции, в ручном режиме на холостом ходу:</w:t>
      </w:r>
    </w:p>
    <w:p w14:paraId="2DFF2A2E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произвести внешний осмотр установки;</w:t>
      </w:r>
    </w:p>
    <w:p w14:paraId="3101E581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произвести проверку коммутирующей аппаратуры и перевести вводные автоматы в состояние выключено (OFF);</w:t>
      </w:r>
    </w:p>
    <w:p w14:paraId="30CE4195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перевести станцию в ручной режим запуска;</w:t>
      </w:r>
    </w:p>
    <w:p w14:paraId="73B6C20C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произвести пуск станции на холостом ходу, на десять минут.</w:t>
      </w:r>
    </w:p>
    <w:p w14:paraId="453F4D28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7.2. Пробный пуск станции в автоматическом режиме в присутствии заказчика:</w:t>
      </w:r>
    </w:p>
    <w:p w14:paraId="287FC8AE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произвести внешний осмотр установки;</w:t>
      </w:r>
    </w:p>
    <w:p w14:paraId="49428A2F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перевести вводные автоматы в состояние включено (ON);</w:t>
      </w:r>
    </w:p>
    <w:p w14:paraId="18BC1826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- перевести станцию в автоматический режим запуска;</w:t>
      </w:r>
    </w:p>
    <w:p w14:paraId="02F732F0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произвести отключение внешнего питания специалистами представителя заказчика - станция должна запуститься в автоматическом режиме и обеспечить необходимое питание;</w:t>
      </w:r>
    </w:p>
    <w:p w14:paraId="6069DF74" w14:textId="77777777" w:rsidR="00523368" w:rsidRPr="00005BF0" w:rsidRDefault="00523368" w:rsidP="00523368">
      <w:pPr>
        <w:pStyle w:val="a5"/>
        <w:jc w:val="both"/>
        <w:rPr>
          <w:rFonts w:ascii="Times New Roman" w:hAnsi="Times New Roman"/>
        </w:rPr>
      </w:pPr>
      <w:r w:rsidRPr="00005BF0">
        <w:rPr>
          <w:rFonts w:ascii="Times New Roman" w:hAnsi="Times New Roman"/>
        </w:rPr>
        <w:t>по результатам испытания восстановить внешнее питание - станция должна перейти в режим расхолаживания на холостом ходу и остановиться по окончанию временной задержки перейдя в режим ожидания.</w:t>
      </w:r>
    </w:p>
    <w:p w14:paraId="58AE3CCF" w14:textId="77777777" w:rsidR="00523368" w:rsidRDefault="00523368" w:rsidP="00523368"/>
    <w:p w14:paraId="0E988230" w14:textId="77777777" w:rsidR="00996A42" w:rsidRDefault="00996A42" w:rsidP="00523368"/>
    <w:p w14:paraId="71EB3DD0" w14:textId="77777777" w:rsidR="00996A42" w:rsidRDefault="00996A42" w:rsidP="00523368"/>
    <w:p w14:paraId="5A958182" w14:textId="77777777" w:rsidR="00996A42" w:rsidRDefault="00996A42" w:rsidP="00523368"/>
    <w:p w14:paraId="05753507" w14:textId="64106A6D" w:rsidR="00996A42" w:rsidRDefault="00996A42" w:rsidP="00996A42">
      <w:pPr>
        <w:jc w:val="right"/>
      </w:pPr>
      <w:r>
        <w:lastRenderedPageBreak/>
        <w:t>Приложение 1</w:t>
      </w:r>
    </w:p>
    <w:p w14:paraId="129CBBE9" w14:textId="77777777" w:rsidR="00996A42" w:rsidRDefault="00996A42" w:rsidP="00996A42">
      <w:pPr>
        <w:jc w:val="right"/>
      </w:pPr>
    </w:p>
    <w:p w14:paraId="645476EA" w14:textId="77777777" w:rsidR="00996A42" w:rsidRDefault="00996A42" w:rsidP="00996A42">
      <w:pPr>
        <w:jc w:val="right"/>
      </w:pPr>
    </w:p>
    <w:p w14:paraId="48494A42" w14:textId="77777777" w:rsidR="00996A42" w:rsidRPr="00996A42" w:rsidRDefault="00996A42" w:rsidP="00996A42">
      <w:pPr>
        <w:jc w:val="right"/>
      </w:pPr>
    </w:p>
    <w:p w14:paraId="688767EA" w14:textId="77777777" w:rsidR="00996A42" w:rsidRPr="00996A42" w:rsidRDefault="00996A42" w:rsidP="00996A42">
      <w:pPr>
        <w:jc w:val="center"/>
        <w:rPr>
          <w:b/>
          <w:color w:val="auto"/>
          <w:lang w:eastAsia="en-US"/>
        </w:rPr>
      </w:pPr>
      <w:r w:rsidRPr="00996A42">
        <w:rPr>
          <w:b/>
          <w:color w:val="auto"/>
          <w:lang w:eastAsia="en-US"/>
        </w:rPr>
        <w:t>ГРАФИК</w:t>
      </w:r>
    </w:p>
    <w:p w14:paraId="2DAA5A1F" w14:textId="27591E0D" w:rsidR="00996A42" w:rsidRPr="00996A42" w:rsidRDefault="00996A42" w:rsidP="00996A42">
      <w:pPr>
        <w:jc w:val="center"/>
        <w:rPr>
          <w:b/>
          <w:color w:val="auto"/>
          <w:lang w:eastAsia="en-US"/>
        </w:rPr>
      </w:pPr>
      <w:r w:rsidRPr="00996A42">
        <w:rPr>
          <w:b/>
          <w:color w:val="auto"/>
          <w:lang w:eastAsia="en-US"/>
        </w:rPr>
        <w:t xml:space="preserve">на техническое обслуживание  и текущий ремонт дизельной электростанции </w:t>
      </w:r>
    </w:p>
    <w:p w14:paraId="7B501021" w14:textId="77777777" w:rsidR="00996A42" w:rsidRPr="00996A42" w:rsidRDefault="00996A42" w:rsidP="00996A42">
      <w:pPr>
        <w:jc w:val="center"/>
        <w:rPr>
          <w:b/>
          <w:color w:val="auto"/>
          <w:u w:val="single"/>
          <w:lang w:eastAsia="en-US"/>
        </w:rPr>
      </w:pPr>
      <w:r w:rsidRPr="00996A42">
        <w:rPr>
          <w:b/>
          <w:color w:val="auto"/>
          <w:u w:val="single"/>
          <w:lang w:eastAsia="en-US"/>
        </w:rPr>
        <w:t>АУ СОН ТО «СРЦН с. Омутинское»</w:t>
      </w:r>
    </w:p>
    <w:p w14:paraId="4987BD05" w14:textId="124252FD" w:rsidR="00996A42" w:rsidRPr="00996A42" w:rsidRDefault="00996A42" w:rsidP="00996A42">
      <w:pPr>
        <w:jc w:val="center"/>
        <w:rPr>
          <w:b/>
          <w:color w:val="auto"/>
          <w:lang w:eastAsia="en-US"/>
        </w:rPr>
      </w:pPr>
      <w:r w:rsidRPr="00996A42">
        <w:rPr>
          <w:b/>
          <w:color w:val="auto"/>
          <w:lang w:eastAsia="en-US"/>
        </w:rPr>
        <w:t>на 202</w:t>
      </w:r>
      <w:r>
        <w:rPr>
          <w:b/>
          <w:color w:val="auto"/>
          <w:lang w:eastAsia="en-US"/>
        </w:rPr>
        <w:t>7</w:t>
      </w:r>
      <w:r w:rsidRPr="00996A42">
        <w:rPr>
          <w:b/>
          <w:color w:val="auto"/>
          <w:lang w:eastAsia="en-US"/>
        </w:rPr>
        <w:t xml:space="preserve"> год.</w:t>
      </w:r>
    </w:p>
    <w:p w14:paraId="776B4C8B" w14:textId="77777777" w:rsidR="00996A42" w:rsidRPr="00996A42" w:rsidRDefault="00996A42" w:rsidP="00996A42">
      <w:pPr>
        <w:rPr>
          <w:color w:val="auto"/>
          <w:lang w:eastAsia="en-US"/>
        </w:rPr>
      </w:pPr>
    </w:p>
    <w:tbl>
      <w:tblPr>
        <w:tblW w:w="115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0"/>
        <w:gridCol w:w="790"/>
        <w:gridCol w:w="909"/>
        <w:gridCol w:w="721"/>
        <w:gridCol w:w="11"/>
        <w:gridCol w:w="865"/>
        <w:gridCol w:w="750"/>
        <w:gridCol w:w="701"/>
        <w:gridCol w:w="11"/>
        <w:gridCol w:w="836"/>
        <w:gridCol w:w="868"/>
        <w:gridCol w:w="973"/>
        <w:gridCol w:w="11"/>
        <w:gridCol w:w="886"/>
        <w:gridCol w:w="808"/>
        <w:gridCol w:w="897"/>
        <w:gridCol w:w="13"/>
      </w:tblGrid>
      <w:tr w:rsidR="00996A42" w:rsidRPr="00996A42" w14:paraId="00B4ADBA" w14:textId="77777777" w:rsidTr="005B081C">
        <w:trPr>
          <w:trHeight w:val="255"/>
        </w:trPr>
        <w:tc>
          <w:tcPr>
            <w:tcW w:w="1541" w:type="dxa"/>
            <w:vMerge w:val="restart"/>
          </w:tcPr>
          <w:p w14:paraId="6A6467A1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Наименование работ</w:t>
            </w:r>
          </w:p>
        </w:tc>
        <w:tc>
          <w:tcPr>
            <w:tcW w:w="2431" w:type="dxa"/>
            <w:gridSpan w:val="4"/>
          </w:tcPr>
          <w:p w14:paraId="28E88480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1 квартал</w:t>
            </w:r>
          </w:p>
        </w:tc>
        <w:tc>
          <w:tcPr>
            <w:tcW w:w="2328" w:type="dxa"/>
            <w:gridSpan w:val="4"/>
          </w:tcPr>
          <w:p w14:paraId="7B2FE362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2 квартал</w:t>
            </w:r>
          </w:p>
        </w:tc>
        <w:tc>
          <w:tcPr>
            <w:tcW w:w="2690" w:type="dxa"/>
            <w:gridSpan w:val="4"/>
          </w:tcPr>
          <w:p w14:paraId="77333257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3 квартал</w:t>
            </w:r>
          </w:p>
        </w:tc>
        <w:tc>
          <w:tcPr>
            <w:tcW w:w="2600" w:type="dxa"/>
            <w:gridSpan w:val="4"/>
          </w:tcPr>
          <w:p w14:paraId="021F2AAC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4 квартал</w:t>
            </w:r>
          </w:p>
        </w:tc>
      </w:tr>
      <w:tr w:rsidR="005B081C" w:rsidRPr="00996A42" w14:paraId="0BBB68D1" w14:textId="77777777" w:rsidTr="005B081C">
        <w:trPr>
          <w:gridAfter w:val="1"/>
          <w:wAfter w:w="13" w:type="dxa"/>
          <w:trHeight w:val="285"/>
        </w:trPr>
        <w:tc>
          <w:tcPr>
            <w:tcW w:w="1541" w:type="dxa"/>
            <w:vMerge/>
          </w:tcPr>
          <w:p w14:paraId="2E79769D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</w:p>
        </w:tc>
        <w:tc>
          <w:tcPr>
            <w:tcW w:w="790" w:type="dxa"/>
          </w:tcPr>
          <w:p w14:paraId="04C83ECC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январь</w:t>
            </w:r>
          </w:p>
        </w:tc>
        <w:tc>
          <w:tcPr>
            <w:tcW w:w="909" w:type="dxa"/>
          </w:tcPr>
          <w:p w14:paraId="111DCFAC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февраль</w:t>
            </w:r>
          </w:p>
        </w:tc>
        <w:tc>
          <w:tcPr>
            <w:tcW w:w="721" w:type="dxa"/>
          </w:tcPr>
          <w:p w14:paraId="3FB4B41E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март</w:t>
            </w:r>
          </w:p>
        </w:tc>
        <w:tc>
          <w:tcPr>
            <w:tcW w:w="876" w:type="dxa"/>
            <w:gridSpan w:val="2"/>
          </w:tcPr>
          <w:p w14:paraId="126EAEB1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апрель</w:t>
            </w:r>
          </w:p>
        </w:tc>
        <w:tc>
          <w:tcPr>
            <w:tcW w:w="751" w:type="dxa"/>
          </w:tcPr>
          <w:p w14:paraId="3B30788B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май</w:t>
            </w:r>
          </w:p>
        </w:tc>
        <w:tc>
          <w:tcPr>
            <w:tcW w:w="701" w:type="dxa"/>
          </w:tcPr>
          <w:p w14:paraId="4D8D47D5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июнь</w:t>
            </w:r>
          </w:p>
        </w:tc>
        <w:tc>
          <w:tcPr>
            <w:tcW w:w="848" w:type="dxa"/>
            <w:gridSpan w:val="2"/>
          </w:tcPr>
          <w:p w14:paraId="4009A054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июль</w:t>
            </w:r>
          </w:p>
        </w:tc>
        <w:tc>
          <w:tcPr>
            <w:tcW w:w="869" w:type="dxa"/>
          </w:tcPr>
          <w:p w14:paraId="4C588A36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август</w:t>
            </w:r>
          </w:p>
        </w:tc>
        <w:tc>
          <w:tcPr>
            <w:tcW w:w="973" w:type="dxa"/>
          </w:tcPr>
          <w:p w14:paraId="7BBB0F55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сентябрь</w:t>
            </w:r>
          </w:p>
        </w:tc>
        <w:tc>
          <w:tcPr>
            <w:tcW w:w="897" w:type="dxa"/>
            <w:gridSpan w:val="2"/>
          </w:tcPr>
          <w:p w14:paraId="5248284A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октябрь</w:t>
            </w:r>
          </w:p>
        </w:tc>
        <w:tc>
          <w:tcPr>
            <w:tcW w:w="804" w:type="dxa"/>
          </w:tcPr>
          <w:p w14:paraId="353E74D4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ноябрь</w:t>
            </w:r>
          </w:p>
        </w:tc>
        <w:tc>
          <w:tcPr>
            <w:tcW w:w="897" w:type="dxa"/>
          </w:tcPr>
          <w:p w14:paraId="3814A99B" w14:textId="77777777" w:rsidR="00996A42" w:rsidRPr="00996A42" w:rsidRDefault="00996A42" w:rsidP="00996A42">
            <w:pPr>
              <w:jc w:val="center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декабрь</w:t>
            </w:r>
          </w:p>
        </w:tc>
      </w:tr>
      <w:tr w:rsidR="005B081C" w:rsidRPr="00996A42" w14:paraId="432F741C" w14:textId="77777777" w:rsidTr="005B081C">
        <w:trPr>
          <w:gridAfter w:val="1"/>
          <w:wAfter w:w="13" w:type="dxa"/>
          <w:trHeight w:val="450"/>
        </w:trPr>
        <w:tc>
          <w:tcPr>
            <w:tcW w:w="1541" w:type="dxa"/>
          </w:tcPr>
          <w:p w14:paraId="2FB0D4AC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Техническое обслуживание</w:t>
            </w:r>
          </w:p>
        </w:tc>
        <w:tc>
          <w:tcPr>
            <w:tcW w:w="790" w:type="dxa"/>
          </w:tcPr>
          <w:p w14:paraId="2DDB8D8C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12-26</w:t>
            </w:r>
          </w:p>
        </w:tc>
        <w:tc>
          <w:tcPr>
            <w:tcW w:w="909" w:type="dxa"/>
          </w:tcPr>
          <w:p w14:paraId="5AD1FD23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09-20</w:t>
            </w:r>
          </w:p>
        </w:tc>
        <w:tc>
          <w:tcPr>
            <w:tcW w:w="721" w:type="dxa"/>
          </w:tcPr>
          <w:p w14:paraId="44E91A48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09-25</w:t>
            </w:r>
          </w:p>
        </w:tc>
        <w:tc>
          <w:tcPr>
            <w:tcW w:w="876" w:type="dxa"/>
            <w:gridSpan w:val="2"/>
          </w:tcPr>
          <w:p w14:paraId="3DA20B95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09-24</w:t>
            </w:r>
          </w:p>
        </w:tc>
        <w:tc>
          <w:tcPr>
            <w:tcW w:w="751" w:type="dxa"/>
          </w:tcPr>
          <w:p w14:paraId="0CA31B4A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06-22</w:t>
            </w:r>
          </w:p>
        </w:tc>
        <w:tc>
          <w:tcPr>
            <w:tcW w:w="701" w:type="dxa"/>
          </w:tcPr>
          <w:p w14:paraId="685A9649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08-26</w:t>
            </w:r>
          </w:p>
        </w:tc>
        <w:tc>
          <w:tcPr>
            <w:tcW w:w="848" w:type="dxa"/>
            <w:gridSpan w:val="2"/>
          </w:tcPr>
          <w:p w14:paraId="76445565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06-24</w:t>
            </w:r>
          </w:p>
        </w:tc>
        <w:tc>
          <w:tcPr>
            <w:tcW w:w="869" w:type="dxa"/>
          </w:tcPr>
          <w:p w14:paraId="368CEC98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03-25</w:t>
            </w:r>
          </w:p>
        </w:tc>
        <w:tc>
          <w:tcPr>
            <w:tcW w:w="973" w:type="dxa"/>
          </w:tcPr>
          <w:p w14:paraId="575D4215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07-25</w:t>
            </w:r>
          </w:p>
        </w:tc>
        <w:tc>
          <w:tcPr>
            <w:tcW w:w="897" w:type="dxa"/>
            <w:gridSpan w:val="2"/>
          </w:tcPr>
          <w:p w14:paraId="2FBD08AE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05-23</w:t>
            </w:r>
          </w:p>
        </w:tc>
        <w:tc>
          <w:tcPr>
            <w:tcW w:w="804" w:type="dxa"/>
          </w:tcPr>
          <w:p w14:paraId="0202C804" w14:textId="77777777" w:rsidR="00996A42" w:rsidRPr="00996A42" w:rsidRDefault="00996A42" w:rsidP="00996A42">
            <w:pPr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09-27</w:t>
            </w:r>
          </w:p>
        </w:tc>
        <w:tc>
          <w:tcPr>
            <w:tcW w:w="897" w:type="dxa"/>
          </w:tcPr>
          <w:p w14:paraId="3FBFFBE6" w14:textId="77777777" w:rsidR="00996A42" w:rsidRPr="00996A42" w:rsidRDefault="00996A42" w:rsidP="00996A42">
            <w:pPr>
              <w:ind w:right="-288"/>
              <w:rPr>
                <w:color w:val="auto"/>
                <w:lang w:eastAsia="en-US"/>
              </w:rPr>
            </w:pPr>
            <w:r w:rsidRPr="00996A42">
              <w:rPr>
                <w:color w:val="auto"/>
                <w:lang w:eastAsia="en-US"/>
              </w:rPr>
              <w:t>03-25</w:t>
            </w:r>
          </w:p>
        </w:tc>
      </w:tr>
    </w:tbl>
    <w:p w14:paraId="2F5FAF9C" w14:textId="77777777" w:rsidR="00523368" w:rsidRPr="00996A42" w:rsidRDefault="00523368" w:rsidP="00523368">
      <w:pPr>
        <w:jc w:val="both"/>
      </w:pPr>
    </w:p>
    <w:p w14:paraId="04E0C86B" w14:textId="77777777" w:rsidR="00523368" w:rsidRDefault="00523368" w:rsidP="00523368">
      <w:pPr>
        <w:ind w:firstLine="567"/>
        <w:jc w:val="both"/>
        <w:rPr>
          <w:sz w:val="24"/>
        </w:rPr>
      </w:pPr>
    </w:p>
    <w:p w14:paraId="3E75750E" w14:textId="77777777" w:rsidR="002E4A2A" w:rsidRDefault="002E4A2A"/>
    <w:sectPr w:rsidR="002E4A2A" w:rsidSect="00996A42">
      <w:pgSz w:w="11906" w:h="16838"/>
      <w:pgMar w:top="1134" w:right="851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368"/>
    <w:rsid w:val="00073B80"/>
    <w:rsid w:val="001E0754"/>
    <w:rsid w:val="001E2C38"/>
    <w:rsid w:val="002E4A2A"/>
    <w:rsid w:val="0036435E"/>
    <w:rsid w:val="00523368"/>
    <w:rsid w:val="00550981"/>
    <w:rsid w:val="005B081C"/>
    <w:rsid w:val="005B5BFB"/>
    <w:rsid w:val="006E694B"/>
    <w:rsid w:val="00787C22"/>
    <w:rsid w:val="0086283A"/>
    <w:rsid w:val="00944705"/>
    <w:rsid w:val="009616A8"/>
    <w:rsid w:val="00996A42"/>
    <w:rsid w:val="009A6F76"/>
    <w:rsid w:val="00C44017"/>
    <w:rsid w:val="00C7210E"/>
    <w:rsid w:val="00C966AD"/>
    <w:rsid w:val="00CD187C"/>
    <w:rsid w:val="00D06A1E"/>
    <w:rsid w:val="00F2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6A5A5"/>
  <w15:docId w15:val="{D41AC305-2662-4E56-B0CA-7A5A8A73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36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Гиперссылка2"/>
    <w:link w:val="a3"/>
    <w:rsid w:val="00523368"/>
    <w:pPr>
      <w:spacing w:after="200" w:line="276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a3">
    <w:name w:val="Hyperlink"/>
    <w:link w:val="2"/>
    <w:rsid w:val="00523368"/>
    <w:rPr>
      <w:rFonts w:eastAsia="Times New Roman" w:cs="Times New Roman"/>
      <w:color w:val="0000FF"/>
      <w:szCs w:val="20"/>
      <w:u w:val="single"/>
      <w:lang w:eastAsia="ru-RU"/>
    </w:rPr>
  </w:style>
  <w:style w:type="table" w:styleId="a4">
    <w:name w:val="Table Grid"/>
    <w:basedOn w:val="a1"/>
    <w:uiPriority w:val="39"/>
    <w:rsid w:val="005233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aliases w:val="для таблиц,Без интервала21,Жирный,No Spacing"/>
    <w:link w:val="a6"/>
    <w:qFormat/>
    <w:rsid w:val="0052336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6">
    <w:name w:val="Без интервала Знак"/>
    <w:aliases w:val="для таблиц Знак,Без интервала21 Знак,Жирный Знак,No Spacing Знак"/>
    <w:link w:val="a5"/>
    <w:qFormat/>
    <w:locked/>
    <w:rsid w:val="00523368"/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aliases w:val="Знак Знак"/>
    <w:basedOn w:val="a0"/>
    <w:link w:val="21"/>
    <w:uiPriority w:val="99"/>
    <w:semiHidden/>
    <w:locked/>
    <w:rsid w:val="003643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aliases w:val="Знак"/>
    <w:basedOn w:val="a"/>
    <w:link w:val="20"/>
    <w:uiPriority w:val="99"/>
    <w:semiHidden/>
    <w:unhideWhenUsed/>
    <w:rsid w:val="0036435E"/>
    <w:pPr>
      <w:spacing w:after="120" w:line="480" w:lineRule="auto"/>
      <w:ind w:left="283"/>
    </w:pPr>
    <w:rPr>
      <w:color w:val="auto"/>
      <w:sz w:val="24"/>
      <w:szCs w:val="24"/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36435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6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Severstal</Company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Московкин Андрей Иванович</dc:creator>
  <cp:lastModifiedBy>uzer</cp:lastModifiedBy>
  <cp:revision>3</cp:revision>
  <cp:lastPrinted>2023-03-22T12:48:00Z</cp:lastPrinted>
  <dcterms:created xsi:type="dcterms:W3CDTF">2026-10-21T09:17:00Z</dcterms:created>
  <dcterms:modified xsi:type="dcterms:W3CDTF">2026-10-21T09:17:00Z</dcterms:modified>
</cp:coreProperties>
</file>