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6"/>
        <w:jc w:val="center"/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  <w:t xml:space="preserve">Т</w:t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  <w:t xml:space="preserve">е</w:t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  <w:t xml:space="preserve">х</w:t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  <w:t xml:space="preserve">н</w:t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  <w:t xml:space="preserve">и</w:t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  <w:t xml:space="preserve">ч</w:t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  <w:t xml:space="preserve">е</w:t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  <w:t xml:space="preserve">с</w:t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  <w:t xml:space="preserve">к</w:t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  <w:t xml:space="preserve">о</w:t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  <w:t xml:space="preserve">е</w:t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  <w:t xml:space="preserve"> </w:t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  <w:t xml:space="preserve">з</w:t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  <w:t xml:space="preserve">а</w:t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  <w:t xml:space="preserve">д</w:t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  <w:t xml:space="preserve">а</w:t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  <w:t xml:space="preserve">н</w:t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  <w:t xml:space="preserve">и</w:t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  <w:t xml:space="preserve">е</w:t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pStyle w:val="856"/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pStyle w:val="856"/>
        <w:keepLines/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                                                                                                                               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9"/>
        <w:ind w:left="0" w:right="0" w:firstLine="850"/>
        <w:jc w:val="both"/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2"/>
          <w:szCs w:val="22"/>
          <w:highlight w:val="white"/>
          <w:lang w:val="ru-RU"/>
        </w:rPr>
        <w:t xml:space="preserve">Предмет закупки: </w:t>
      </w:r>
      <w:r>
        <w:rPr>
          <w:rFonts w:ascii="Liberation Sans" w:hAnsi="Liberation Sans" w:eastAsia="Liberation Sans" w:cs="Liberation Sans"/>
          <w:b/>
          <w:bCs/>
          <w:color w:val="000000" w:themeColor="text1"/>
          <w:sz w:val="22"/>
          <w:szCs w:val="22"/>
          <w:highlight w:val="white"/>
          <w:lang w:val="ru-RU"/>
        </w:rPr>
        <w:t xml:space="preserve">О</w:t>
      </w:r>
      <w:r>
        <w:rPr>
          <w:rFonts w:ascii="Liberation Sans" w:hAnsi="Liberation Sans" w:eastAsia="Liberation Sans" w:cs="Liberation Sans"/>
          <w:b/>
          <w:bCs/>
          <w:color w:val="000000" w:themeColor="text1"/>
          <w:sz w:val="22"/>
          <w:szCs w:val="22"/>
          <w:highlight w:val="white"/>
          <w:lang w:val="ru-RU"/>
        </w:rPr>
        <w:t xml:space="preserve">казание услуг </w:t>
      </w:r>
      <w:r>
        <w:rPr>
          <w:rFonts w:ascii="Liberation Sans" w:hAnsi="Liberation Sans" w:eastAsia="Liberation Sans" w:cs="Liberation Sans"/>
          <w:b/>
          <w:bCs/>
          <w:color w:val="000000" w:themeColor="text1"/>
          <w:sz w:val="22"/>
          <w:szCs w:val="22"/>
          <w:highlight w:val="white"/>
        </w:rPr>
        <w:t xml:space="preserve"> </w:t>
      </w:r>
      <w:r>
        <w:rPr>
          <w:rFonts w:ascii="Liberation Sans" w:hAnsi="Liberation Sans" w:eastAsia="Liberation Sans" w:cs="Liberation Sans"/>
          <w:b/>
          <w:bCs/>
          <w:color w:val="000000" w:themeColor="text1"/>
          <w:sz w:val="22"/>
          <w:szCs w:val="22"/>
          <w:highlight w:val="white"/>
        </w:rPr>
        <w:t xml:space="preserve">п</w:t>
      </w:r>
      <w:r>
        <w:rPr>
          <w:rFonts w:ascii="Liberation Sans" w:hAnsi="Liberation Sans" w:eastAsia="Liberation Sans" w:cs="Liberation Sans"/>
          <w:b/>
          <w:bCs/>
          <w:color w:val="000000" w:themeColor="text1"/>
          <w:sz w:val="22"/>
          <w:szCs w:val="22"/>
          <w:highlight w:val="white"/>
        </w:rPr>
        <w:t xml:space="preserve">о техническому обслуживанию, аварийно-техническому обслуживанию и обслуживанию систем диспетчерского (операторского) контроля</w:t>
      </w:r>
      <w:r>
        <w:rPr>
          <w:rFonts w:ascii="Liberation Sans" w:hAnsi="Liberation Sans" w:eastAsia="Liberation Sans" w:cs="Liberation Sans"/>
          <w:b/>
          <w:bCs/>
          <w:color w:val="000000" w:themeColor="text1"/>
          <w:sz w:val="22"/>
          <w:szCs w:val="22"/>
          <w:highlight w:val="white"/>
          <w:lang w:val="ru-RU"/>
        </w:rPr>
        <w:t xml:space="preserve"> подъемных платформ с вертикальным перемещением для инвалидов (Мультилифт-1)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  <w:lang w:val="ru-RU"/>
        </w:rPr>
        <w:t xml:space="preserve"> (далее по тексту Оборудование) 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по адресу: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 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г.Ноябрьск, ул.Советская, 82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 – в количестве 3 шт.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ind w:left="0" w:right="0" w:firstLine="850"/>
        <w:jc w:val="both"/>
        <w:rPr>
          <w:rFonts w:ascii="Liberation Sans" w:hAnsi="Liberation Sans" w:cs="Liberation Sans"/>
          <w:color w:val="000000" w:themeColor="text1"/>
          <w:sz w:val="22"/>
          <w:szCs w:val="22"/>
          <w:highlight w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Срок оказания услуг, предусмотренных пунктом 1.1. устанавливается </w:t>
      </w:r>
      <w:r>
        <w:rPr>
          <w:rFonts w:ascii="Liberation Sans" w:hAnsi="Liberation Sans" w:eastAsia="Liberation Sans" w:cs="Liberation Sans"/>
          <w:b/>
          <w:bCs/>
          <w:color w:val="000000" w:themeColor="text1"/>
          <w:sz w:val="22"/>
          <w:szCs w:val="22"/>
          <w:highlight w:val="white"/>
        </w:rPr>
        <w:t xml:space="preserve">с 01.01</w:t>
      </w:r>
      <w:r>
        <w:rPr>
          <w:rFonts w:ascii="Liberation Sans" w:hAnsi="Liberation Sans" w:eastAsia="Liberation Sans" w:cs="Liberation Sans"/>
          <w:b/>
          <w:bCs/>
          <w:color w:val="000000" w:themeColor="text1"/>
          <w:sz w:val="22"/>
          <w:szCs w:val="22"/>
          <w:highlight w:val="white"/>
        </w:rPr>
        <w:t xml:space="preserve">.2027 по 31</w:t>
      </w:r>
      <w:r>
        <w:rPr>
          <w:rFonts w:ascii="Liberation Sans" w:hAnsi="Liberation Sans" w:eastAsia="Liberation Sans" w:cs="Liberation Sans"/>
          <w:b/>
          <w:bCs/>
          <w:color w:val="000000" w:themeColor="text1"/>
          <w:sz w:val="22"/>
          <w:szCs w:val="22"/>
          <w:highlight w:val="white"/>
        </w:rPr>
        <w:t xml:space="preserve">.12</w:t>
      </w:r>
      <w:r>
        <w:rPr>
          <w:rFonts w:ascii="Liberation Sans" w:hAnsi="Liberation Sans" w:eastAsia="Liberation Sans" w:cs="Liberation Sans"/>
          <w:b/>
          <w:bCs/>
          <w:color w:val="000000" w:themeColor="text1"/>
          <w:sz w:val="22"/>
          <w:szCs w:val="22"/>
          <w:highlight w:val="white"/>
        </w:rPr>
        <w:t xml:space="preserve">.2027</w:t>
      </w:r>
      <w:r>
        <w:rPr>
          <w:rFonts w:ascii="Liberation Sans" w:hAnsi="Liberation Sans" w:eastAsia="Liberation Sans" w:cs="Liberation Sans"/>
          <w:b/>
          <w:bCs/>
          <w:color w:val="000000" w:themeColor="text1"/>
          <w:sz w:val="22"/>
          <w:szCs w:val="22"/>
          <w:highlight w:val="white"/>
        </w:rPr>
        <w:t xml:space="preserve"> </w:t>
      </w:r>
      <w:r>
        <w:rPr>
          <w:rFonts w:ascii="Liberation Sans" w:hAnsi="Liberation Sans" w:eastAsia="Liberation Sans" w:cs="Liberation Sans"/>
          <w:b/>
          <w:iCs/>
          <w:color w:val="000000" w:themeColor="text1"/>
          <w:sz w:val="22"/>
          <w:szCs w:val="22"/>
          <w:highlight w:val="white"/>
        </w:rPr>
        <w:t xml:space="preserve">(включительно)</w:t>
      </w:r>
      <w:r>
        <w:rPr>
          <w:rFonts w:ascii="Liberation Sans" w:hAnsi="Liberation Sans" w:eastAsia="Liberation Sans" w:cs="Liberation Sans"/>
          <w:b/>
          <w:iCs/>
          <w:color w:val="000000" w:themeColor="text1"/>
          <w:sz w:val="22"/>
          <w:szCs w:val="22"/>
          <w:highlight w:val="white"/>
        </w:rPr>
        <w:t xml:space="preserve">.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non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none"/>
        </w:rPr>
      </w:r>
    </w:p>
    <w:p>
      <w:pPr>
        <w:pStyle w:val="856"/>
        <w:ind w:left="0" w:right="0" w:firstLine="850"/>
        <w:jc w:val="both"/>
        <w:rPr>
          <w:rFonts w:ascii="Liberation Sans" w:hAnsi="Liberation Sans" w:cs="Liberation Sans"/>
          <w:color w:val="000000" w:themeColor="text1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Основание: 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Федеральный закон от 18.07.2011 г. № 223-ФЗ "О закупках товаров, работ, услуг отдельными видами юридических лиц», Положение о закупке товаров, работ, услуг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 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о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т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 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2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5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.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0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6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.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2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0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2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6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г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.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0"/>
          <w:szCs w:val="20"/>
          <w:highlight w:val="white"/>
        </w:rPr>
      </w:r>
    </w:p>
    <w:tbl>
      <w:tblPr>
        <w:tblW w:w="1031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75"/>
        <w:gridCol w:w="2267"/>
        <w:gridCol w:w="850"/>
        <w:gridCol w:w="1704"/>
        <w:gridCol w:w="1842"/>
      </w:tblGrid>
      <w:tr>
        <w:tblPrEx/>
        <w:trPr/>
        <w:tc>
          <w:tcPr>
            <w:tcW w:w="675" w:type="dxa"/>
            <w:vAlign w:val="top"/>
            <w:textDirection w:val="lrTb"/>
            <w:noWrap w:val="false"/>
          </w:tcPr>
          <w:p>
            <w:pPr>
              <w:pStyle w:val="856"/>
              <w:jc w:val="center"/>
              <w:spacing w:line="240" w:lineRule="auto"/>
              <w:rPr>
                <w:rFonts w:ascii="Liberation Sans" w:hAnsi="Liberation Sans" w:cs="Liberation Sans"/>
                <w:b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b/>
                <w:sz w:val="22"/>
                <w:szCs w:val="22"/>
              </w:rPr>
              <w:t xml:space="preserve">№ п/п</w:t>
            </w:r>
            <w:r>
              <w:rPr>
                <w:rFonts w:ascii="Liberation Sans" w:hAnsi="Liberation Sans" w:cs="Liberation Sans"/>
                <w:b/>
                <w:sz w:val="22"/>
                <w:szCs w:val="22"/>
              </w:rPr>
            </w:r>
            <w:r>
              <w:rPr>
                <w:rFonts w:ascii="Liberation Sans" w:hAnsi="Liberation Sans" w:cs="Liberation Sans"/>
                <w:b/>
                <w:sz w:val="22"/>
                <w:szCs w:val="22"/>
              </w:rPr>
            </w:r>
          </w:p>
        </w:tc>
        <w:tc>
          <w:tcPr>
            <w:tcW w:w="2267" w:type="dxa"/>
            <w:vAlign w:val="top"/>
            <w:textDirection w:val="lrTb"/>
            <w:noWrap w:val="false"/>
          </w:tcPr>
          <w:p>
            <w:pPr>
              <w:pStyle w:val="856"/>
              <w:jc w:val="center"/>
              <w:spacing w:line="240" w:lineRule="auto"/>
              <w:rPr>
                <w:rFonts w:ascii="Liberation Sans" w:hAnsi="Liberation Sans" w:cs="Liberation Sans"/>
                <w:b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b/>
                <w:sz w:val="22"/>
                <w:szCs w:val="22"/>
              </w:rPr>
              <w:t xml:space="preserve">Наименование оборудовани</w:t>
            </w:r>
            <w:r>
              <w:rPr>
                <w:rFonts w:ascii="Liberation Sans" w:hAnsi="Liberation Sans" w:eastAsia="Liberation Sans" w:cs="Liberation Sans"/>
                <w:b/>
                <w:sz w:val="22"/>
                <w:szCs w:val="22"/>
              </w:rPr>
              <w:t xml:space="preserve">я</w:t>
            </w:r>
            <w:r>
              <w:rPr>
                <w:rFonts w:ascii="Liberation Sans" w:hAnsi="Liberation Sans" w:cs="Liberation Sans"/>
                <w:b/>
                <w:sz w:val="22"/>
                <w:szCs w:val="22"/>
              </w:rPr>
            </w:r>
            <w:r>
              <w:rPr>
                <w:rFonts w:ascii="Liberation Sans" w:hAnsi="Liberation Sans" w:cs="Liberation Sans"/>
                <w:b/>
                <w:sz w:val="22"/>
                <w:szCs w:val="22"/>
              </w:rPr>
            </w:r>
          </w:p>
        </w:tc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856"/>
              <w:jc w:val="center"/>
              <w:spacing w:line="240" w:lineRule="auto"/>
              <w:rPr>
                <w:rFonts w:ascii="Liberation Sans" w:hAnsi="Liberation Sans" w:cs="Liberation Sans"/>
                <w:b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b/>
                <w:sz w:val="22"/>
                <w:szCs w:val="22"/>
              </w:rPr>
              <w:t xml:space="preserve">Кол-во </w:t>
            </w:r>
            <w:r>
              <w:rPr>
                <w:rFonts w:ascii="Liberation Sans" w:hAnsi="Liberation Sans" w:cs="Liberation Sans"/>
                <w:b/>
                <w:sz w:val="22"/>
                <w:szCs w:val="22"/>
              </w:rPr>
            </w:r>
            <w:r>
              <w:rPr>
                <w:rFonts w:ascii="Liberation Sans" w:hAnsi="Liberation Sans" w:cs="Liberation Sans"/>
                <w:b/>
                <w:sz w:val="22"/>
                <w:szCs w:val="22"/>
              </w:rPr>
            </w:r>
          </w:p>
        </w:tc>
        <w:tc>
          <w:tcPr>
            <w:tcW w:w="1704" w:type="dxa"/>
            <w:vAlign w:val="top"/>
            <w:textDirection w:val="lrTb"/>
            <w:noWrap w:val="false"/>
          </w:tcPr>
          <w:p>
            <w:pPr>
              <w:pStyle w:val="856"/>
              <w:jc w:val="center"/>
              <w:spacing w:line="240" w:lineRule="auto"/>
              <w:rPr>
                <w:rFonts w:ascii="Liberation Sans" w:hAnsi="Liberation Sans" w:cs="Liberation Sans"/>
                <w:b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b/>
                <w:sz w:val="22"/>
                <w:szCs w:val="22"/>
              </w:rPr>
              <w:t xml:space="preserve">Срок обслуживания</w:t>
            </w:r>
            <w:r>
              <w:rPr>
                <w:rFonts w:ascii="Liberation Sans" w:hAnsi="Liberation Sans" w:cs="Liberation Sans"/>
                <w:b/>
                <w:sz w:val="22"/>
                <w:szCs w:val="22"/>
              </w:rPr>
            </w:r>
            <w:r>
              <w:rPr>
                <w:rFonts w:ascii="Liberation Sans" w:hAnsi="Liberation Sans" w:cs="Liberation Sans"/>
                <w:b/>
                <w:sz w:val="22"/>
                <w:szCs w:val="22"/>
              </w:rPr>
            </w:r>
          </w:p>
        </w:tc>
        <w:tc>
          <w:tcPr>
            <w:tcW w:w="1842" w:type="dxa"/>
            <w:vAlign w:val="top"/>
            <w:textDirection w:val="lrTb"/>
            <w:noWrap w:val="false"/>
          </w:tcPr>
          <w:p>
            <w:pPr>
              <w:pStyle w:val="856"/>
              <w:jc w:val="center"/>
              <w:spacing w:line="240" w:lineRule="auto"/>
              <w:rPr>
                <w:rFonts w:ascii="Liberation Sans" w:hAnsi="Liberation Sans" w:cs="Liberation Sans"/>
                <w:b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b/>
                <w:sz w:val="22"/>
                <w:szCs w:val="22"/>
              </w:rPr>
              <w:t xml:space="preserve">Адрес</w:t>
            </w:r>
            <w:r>
              <w:rPr>
                <w:rFonts w:ascii="Liberation Sans" w:hAnsi="Liberation Sans" w:cs="Liberation Sans"/>
                <w:b/>
                <w:sz w:val="22"/>
                <w:szCs w:val="22"/>
              </w:rPr>
            </w:r>
            <w:r>
              <w:rPr>
                <w:rFonts w:ascii="Liberation Sans" w:hAnsi="Liberation Sans" w:cs="Liberation Sans"/>
                <w:b/>
                <w:sz w:val="22"/>
                <w:szCs w:val="22"/>
              </w:rPr>
            </w:r>
          </w:p>
        </w:tc>
      </w:tr>
      <w:tr>
        <w:tblPrEx/>
        <w:trPr>
          <w:trHeight w:val="1439"/>
        </w:trPr>
        <w:tc>
          <w:tcPr>
            <w:tcW w:w="675" w:type="dxa"/>
            <w:vAlign w:val="center"/>
            <w:textDirection w:val="lrTb"/>
            <w:noWrap w:val="false"/>
          </w:tcPr>
          <w:p>
            <w:pPr>
              <w:pStyle w:val="856"/>
              <w:jc w:val="center"/>
              <w:spacing w:line="240" w:lineRule="auto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1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856"/>
              <w:jc w:val="center"/>
              <w:spacing w:line="240" w:lineRule="auto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платформа подъемная с вертикальным перемещением для инвалидов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 «Мультилифт 1»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pStyle w:val="856"/>
              <w:jc w:val="center"/>
              <w:spacing w:line="240" w:lineRule="auto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2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W w:w="1704" w:type="dxa"/>
            <w:vAlign w:val="center"/>
            <w:textDirection w:val="lrTb"/>
            <w:noWrap w:val="false"/>
          </w:tcPr>
          <w:p>
            <w:pPr>
              <w:pStyle w:val="856"/>
              <w:jc w:val="center"/>
              <w:spacing w:line="240" w:lineRule="auto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С 01.01.2027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 по 31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.12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.202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7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W w:w="1842" w:type="dxa"/>
            <w:vAlign w:val="center"/>
            <w:textDirection w:val="lrTb"/>
            <w:noWrap w:val="false"/>
          </w:tcPr>
          <w:p>
            <w:pPr>
              <w:pStyle w:val="856"/>
              <w:jc w:val="center"/>
              <w:spacing w:line="240" w:lineRule="auto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г. Ноябрьск, ул. Советская, д.82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>
          <w:trHeight w:val="1265"/>
        </w:trPr>
        <w:tc>
          <w:tcPr>
            <w:tcW w:w="675" w:type="dxa"/>
            <w:vAlign w:val="center"/>
            <w:textDirection w:val="lrTb"/>
            <w:noWrap w:val="false"/>
          </w:tcPr>
          <w:p>
            <w:pPr>
              <w:pStyle w:val="856"/>
              <w:jc w:val="center"/>
              <w:spacing w:line="240" w:lineRule="auto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2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W w:w="2267" w:type="dxa"/>
            <w:vAlign w:val="center"/>
            <w:textDirection w:val="lrTb"/>
            <w:noWrap w:val="false"/>
          </w:tcPr>
          <w:p>
            <w:pPr>
              <w:pStyle w:val="856"/>
              <w:jc w:val="center"/>
              <w:spacing w:line="240" w:lineRule="auto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платформа подъемная с вертикальным перемещением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pStyle w:val="856"/>
              <w:jc w:val="center"/>
              <w:spacing w:line="240" w:lineRule="auto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1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W w:w="1704" w:type="dxa"/>
            <w:vAlign w:val="center"/>
            <w:textDirection w:val="lrTb"/>
            <w:noWrap w:val="false"/>
          </w:tcPr>
          <w:p>
            <w:pPr>
              <w:pStyle w:val="856"/>
              <w:jc w:val="center"/>
              <w:spacing w:line="240" w:lineRule="auto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С 01.01.2027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 по 31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.12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.202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7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  <w:p>
            <w:pPr>
              <w:pStyle w:val="856"/>
              <w:jc w:val="center"/>
              <w:spacing w:line="240" w:lineRule="auto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  <w:p>
            <w:pPr>
              <w:pStyle w:val="856"/>
              <w:jc w:val="center"/>
              <w:spacing w:line="240" w:lineRule="auto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W w:w="1842" w:type="dxa"/>
            <w:vAlign w:val="center"/>
            <w:textDirection w:val="lrTb"/>
            <w:noWrap w:val="false"/>
          </w:tcPr>
          <w:p>
            <w:pPr>
              <w:pStyle w:val="856"/>
              <w:jc w:val="center"/>
              <w:spacing w:line="240" w:lineRule="auto"/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г. Ноябрьск, ул. Советская, д.82 (цокольный этаж)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/>
        <w:tc>
          <w:tcPr>
            <w:tcW w:w="675" w:type="dxa"/>
            <w:vAlign w:val="top"/>
            <w:textDirection w:val="lrTb"/>
            <w:noWrap w:val="false"/>
          </w:tcPr>
          <w:p>
            <w:pPr>
              <w:pStyle w:val="856"/>
              <w:jc w:val="center"/>
              <w:spacing w:line="240" w:lineRule="auto"/>
              <w:rPr>
                <w:rFonts w:ascii="Liberation Sans" w:hAnsi="Liberation Sans" w:cs="Liberation Sans"/>
                <w:b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b/>
                <w:sz w:val="22"/>
                <w:szCs w:val="22"/>
              </w:rPr>
            </w:r>
            <w:r>
              <w:rPr>
                <w:rFonts w:ascii="Liberation Sans" w:hAnsi="Liberation Sans" w:cs="Liberation Sans"/>
                <w:b/>
                <w:sz w:val="22"/>
                <w:szCs w:val="22"/>
              </w:rPr>
            </w:r>
            <w:r>
              <w:rPr>
                <w:rFonts w:ascii="Liberation Sans" w:hAnsi="Liberation Sans" w:cs="Liberation Sans"/>
                <w:b/>
                <w:sz w:val="22"/>
                <w:szCs w:val="22"/>
              </w:rPr>
            </w:r>
          </w:p>
        </w:tc>
        <w:tc>
          <w:tcPr>
            <w:tcW w:w="2267" w:type="dxa"/>
            <w:vAlign w:val="top"/>
            <w:textDirection w:val="lrTb"/>
            <w:noWrap w:val="false"/>
          </w:tcPr>
          <w:p>
            <w:pPr>
              <w:pStyle w:val="856"/>
              <w:jc w:val="center"/>
              <w:spacing w:line="240" w:lineRule="auto"/>
              <w:rPr>
                <w:rFonts w:ascii="Liberation Sans" w:hAnsi="Liberation Sans" w:cs="Liberation Sans"/>
                <w:b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b/>
                <w:sz w:val="22"/>
                <w:szCs w:val="22"/>
              </w:rPr>
              <w:t xml:space="preserve">ВСЕГО</w:t>
            </w:r>
            <w:r>
              <w:rPr>
                <w:rFonts w:ascii="Liberation Sans" w:hAnsi="Liberation Sans" w:cs="Liberation Sans"/>
                <w:b/>
                <w:sz w:val="22"/>
                <w:szCs w:val="22"/>
              </w:rPr>
            </w:r>
            <w:r>
              <w:rPr>
                <w:rFonts w:ascii="Liberation Sans" w:hAnsi="Liberation Sans" w:cs="Liberation Sans"/>
                <w:b/>
                <w:sz w:val="22"/>
                <w:szCs w:val="22"/>
              </w:rPr>
            </w:r>
          </w:p>
        </w:tc>
        <w:tc>
          <w:tcPr>
            <w:tcW w:w="850" w:type="dxa"/>
            <w:vAlign w:val="top"/>
            <w:textDirection w:val="lrTb"/>
            <w:noWrap w:val="false"/>
          </w:tcPr>
          <w:p>
            <w:pPr>
              <w:pStyle w:val="856"/>
              <w:jc w:val="center"/>
              <w:spacing w:line="240" w:lineRule="auto"/>
              <w:rPr>
                <w:rFonts w:ascii="Liberation Sans" w:hAnsi="Liberation Sans" w:cs="Liberation Sans"/>
                <w:b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b/>
                <w:sz w:val="22"/>
                <w:szCs w:val="22"/>
              </w:rPr>
              <w:t xml:space="preserve">3</w:t>
            </w:r>
            <w:r>
              <w:rPr>
                <w:rFonts w:ascii="Liberation Sans" w:hAnsi="Liberation Sans" w:cs="Liberation Sans"/>
                <w:b/>
                <w:sz w:val="22"/>
                <w:szCs w:val="22"/>
              </w:rPr>
            </w:r>
            <w:r>
              <w:rPr>
                <w:rFonts w:ascii="Liberation Sans" w:hAnsi="Liberation Sans" w:cs="Liberation Sans"/>
                <w:b/>
                <w:sz w:val="22"/>
                <w:szCs w:val="22"/>
              </w:rPr>
            </w:r>
          </w:p>
        </w:tc>
        <w:tc>
          <w:tcPr>
            <w:tcW w:w="1704" w:type="dxa"/>
            <w:vAlign w:val="top"/>
            <w:textDirection w:val="lrTb"/>
            <w:noWrap w:val="false"/>
          </w:tcPr>
          <w:p>
            <w:pPr>
              <w:pStyle w:val="856"/>
              <w:jc w:val="center"/>
              <w:spacing w:line="240" w:lineRule="auto"/>
              <w:rPr>
                <w:rFonts w:ascii="Liberation Sans" w:hAnsi="Liberation Sans" w:cs="Liberation Sans"/>
                <w:b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b/>
                <w:sz w:val="22"/>
                <w:szCs w:val="22"/>
              </w:rPr>
            </w:r>
            <w:r>
              <w:rPr>
                <w:rFonts w:ascii="Liberation Sans" w:hAnsi="Liberation Sans" w:cs="Liberation Sans"/>
                <w:b/>
                <w:sz w:val="22"/>
                <w:szCs w:val="22"/>
              </w:rPr>
            </w:r>
            <w:r>
              <w:rPr>
                <w:rFonts w:ascii="Liberation Sans" w:hAnsi="Liberation Sans" w:cs="Liberation Sans"/>
                <w:b/>
                <w:sz w:val="22"/>
                <w:szCs w:val="22"/>
              </w:rPr>
            </w:r>
          </w:p>
        </w:tc>
        <w:tc>
          <w:tcPr>
            <w:tcW w:w="1842" w:type="dxa"/>
            <w:vAlign w:val="top"/>
            <w:textDirection w:val="lrTb"/>
            <w:noWrap w:val="false"/>
          </w:tcPr>
          <w:p>
            <w:pPr>
              <w:pStyle w:val="856"/>
              <w:jc w:val="center"/>
              <w:spacing w:line="240" w:lineRule="auto"/>
              <w:rPr>
                <w:rFonts w:ascii="Liberation Sans" w:hAnsi="Liberation Sans" w:cs="Liberation Sans"/>
                <w:b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b/>
                <w:sz w:val="22"/>
                <w:szCs w:val="22"/>
              </w:rPr>
            </w:r>
            <w:r>
              <w:rPr>
                <w:rFonts w:ascii="Liberation Sans" w:hAnsi="Liberation Sans" w:cs="Liberation Sans"/>
                <w:b/>
                <w:sz w:val="22"/>
                <w:szCs w:val="22"/>
              </w:rPr>
            </w:r>
            <w:r>
              <w:rPr>
                <w:rFonts w:ascii="Liberation Sans" w:hAnsi="Liberation Sans" w:cs="Liberation Sans"/>
                <w:b/>
                <w:sz w:val="22"/>
                <w:szCs w:val="22"/>
              </w:rPr>
            </w:r>
          </w:p>
        </w:tc>
      </w:tr>
    </w:tbl>
    <w:p>
      <w:pPr>
        <w:pStyle w:val="856"/>
        <w:jc w:val="both"/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numPr>
          <w:ilvl w:val="0"/>
          <w:numId w:val="6"/>
        </w:numPr>
        <w:jc w:val="center"/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2"/>
          <w:szCs w:val="22"/>
          <w:highlight w:val="white"/>
        </w:rPr>
        <w:t xml:space="preserve">ТЕХНИЧЕСКОЕ ОБСЛУЖИВАНИЕ</w:t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1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.1. Техническое обслуживание оборудования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 проводится 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ежемесячно с записью в журнал МАУК Музейный центр, 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согласно приложению № 1 «Общий перечень работ выполняемых при техническом обслуживании оборудования»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, являющегося неотъемлемой частью настоящей документации, и инструкции (руководства) по эксплуатации оборудования в части технического обслуживания.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1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.2. Работы по техническому обслуживанию оборудования проводятся в соответствии с действующей нормативно-технической документацией,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 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ТР ТС-010/2011 «О безопасности машин и оборудования» и поддерживающих его ГОСТов, Постановления правительства РФ от 20.10.2023г. № 1744 «Об организации безопасного использования и сод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метрополитенах» и инструкции (руководства) по эксплуатации оборудования в части технического обслуживания.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1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.3. Исполнитель  обеспечивает без дополнительной оплаты оперативный пуск остановившегося о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борудования, если устранение причин их остановки не связано с проведением аварийно-восстановительных работ капитального характера. При этом Исполнитель производит освобождение пассажиров не позднее 30 минут со времени поступления заявки в аварийную службу.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b/>
          <w:color w:val="000000" w:themeColor="text1"/>
          <w:sz w:val="22"/>
          <w:szCs w:val="22"/>
          <w:highlight w:val="white"/>
        </w:rPr>
        <w:t xml:space="preserve">Телефоны Центральной диспетчерской службы: </w:t>
      </w:r>
      <w:r>
        <w:rPr>
          <w:rFonts w:ascii="Liberation Sans" w:hAnsi="Liberation Sans" w:cs="Liberation Sans"/>
          <w:b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color w:val="000000" w:themeColor="text1"/>
          <w:sz w:val="22"/>
          <w:szCs w:val="22"/>
          <w:highlight w:val="white"/>
        </w:rPr>
      </w:r>
    </w:p>
    <w:p>
      <w:pPr>
        <w:pStyle w:val="856"/>
        <w:rPr>
          <w:rFonts w:ascii="Liberation Sans" w:hAnsi="Liberation Sans" w:cs="Liberation Sans"/>
          <w:color w:val="000000" w:themeColor="text1"/>
          <w:sz w:val="22"/>
          <w:szCs w:val="22"/>
          <w:highlight w:val="yellow"/>
        </w:rP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2"/>
          <w:szCs w:val="22"/>
          <w:highlight w:val="yellow"/>
        </w:rPr>
        <w:t xml:space="preserve">Круглосуточно: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yellow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yellow"/>
        </w:rPr>
      </w:r>
    </w:p>
    <w:p>
      <w:pPr>
        <w:pStyle w:val="856"/>
        <w:rPr>
          <w:rFonts w:ascii="Liberation Sans" w:hAnsi="Liberation Sans" w:cs="Liberation Sans"/>
          <w:b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b/>
          <w:color w:val="000000" w:themeColor="text1"/>
          <w:sz w:val="22"/>
          <w:szCs w:val="22"/>
          <w:highlight w:val="yellow"/>
        </w:rPr>
        <w:t xml:space="preserve">Тел. </w:t>
      </w:r>
      <w:r>
        <w:rPr>
          <w:rFonts w:ascii="Liberation Sans" w:hAnsi="Liberation Sans" w:cs="Liberation Sans"/>
          <w:b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1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.4. Средний, капитальный ремонт и модернизация оборудования не включена в стоимость услуг и проводится за отдельную плату.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1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.5. При приостановлении работы оборудования на более чем 15 суток, по причинам не связанным с проведен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ием аварийно-восстановительных работ капитального характера, пуск оборудования осуществляется только после проведения подготовки оборудования к эксплуатации (наладочные работы) и, при необходимости, проведения частичного технического освидетельствования с 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привлечением испытательной лаборатории, аккредитованной в порядке, установленном законодательством РФ об аккредитации в национальной системе аккредитации в соответствии п.25 постановления правительства РФ от 20.10.2023г. № 1744 или экспертной организации. 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jc w:val="center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2"/>
          <w:szCs w:val="22"/>
          <w:highlight w:val="white"/>
        </w:rPr>
        <w:t xml:space="preserve">2</w:t>
      </w:r>
      <w:r>
        <w:rPr>
          <w:rFonts w:ascii="Liberation Sans" w:hAnsi="Liberation Sans" w:eastAsia="Liberation Sans" w:cs="Liberation Sans"/>
          <w:b/>
          <w:bCs/>
          <w:color w:val="000000" w:themeColor="text1"/>
          <w:sz w:val="22"/>
          <w:szCs w:val="22"/>
          <w:highlight w:val="white"/>
        </w:rPr>
        <w:t xml:space="preserve">. ОБЯЗАННОСТИ СТОРОН</w:t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b/>
          <w:color w:val="000000" w:themeColor="text1"/>
          <w:sz w:val="22"/>
          <w:szCs w:val="22"/>
          <w:highlight w:val="white"/>
        </w:rPr>
        <w:t xml:space="preserve">2</w:t>
      </w:r>
      <w:r>
        <w:rPr>
          <w:rFonts w:ascii="Liberation Sans" w:hAnsi="Liberation Sans" w:eastAsia="Liberation Sans" w:cs="Liberation Sans"/>
          <w:b/>
          <w:color w:val="000000" w:themeColor="text1"/>
          <w:sz w:val="22"/>
          <w:szCs w:val="22"/>
          <w:highlight w:val="white"/>
        </w:rPr>
        <w:t xml:space="preserve">.1. Исполнитель обязуется: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2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.1.1.Назначить, в со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ответствии с требованиями регламента ТР ТС-010/2011 «О безопасности машин и оборудования» и поддерживающих его ГОСТов, постановления правительства РФ от 20.10.2023г. №1744 лиц, ответственных за организацию эксплуатации, обслуживания и ремонта оборудования.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2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.1.2. Обеспечи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ть оказание услуг по содержанию оборудования в исправном состоянии своим квалифицированным персоналом с соблюдением требований действующих норм и правил, Правил охраны труда и техники безопасности и Производственных инструкций для обслуживающего персонала.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2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.1.3. Самостоятельно обеспечить необходимое количество запасных частей для проведения технического обслуживания оборудования.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2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.1.4. Обеспечить сохранность принятых от Заказчика паспортов оборудования и вносить в них необходимые изменения и дополнения.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2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.1.5. Разместить в кабине оборудования и на основном посадочном этаже оборудования информацию о средствах и способе связи с квалифицированным персоналом и аварийной службой, правила пользования оборудованием.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2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.1.6. Обеспечить подготовку оборудования к техническому освидетельствованию и принимать участие в его проведении. 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2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.1.7. Производить приостановление работы оборудования, в случае возникновения угрозы причинения вреда жизни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, здоровью граждан, имуществу граждан и организаций в соответствии с требованиями регламента ТР ТС-010/2011 «О безопасности машин и оборудования» и поддерживающих его ГОСТов, постановления правительства РФ от 20.10.2023г. №1744, до устранения такой угрозы.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2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.1.8. Обеспечить регистрацию в специальном журнале сбоев в работе оборудования, а также всех видов работ, проводимых на них персоналом Исполнителя.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2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.1.9. Принимать участие в проведении контрольных осмотров оборудования, проводимых уполномоченными органами Российской Федерации по обеспечению государственного контроля (надзора) за со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блюдением требований технических регламентов Таможенного союза «Безопасность лифтов» и «О безопасности машин и оборудования», специалистами аттестованной испытательной лаборатории (центра), экспертных организаций и других уполномоченных на это организаций.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2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.1.10. Своевременно уведомить Заказчика о необходимости замены морально и физически устаревшего оборудования, а также отдельных деталей, узлов и механизмов, дальнейшая эксплуатация которых не обеспечивает безопасную и бесперебойную работу оборудования.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Своевременно информировать Заказчика об изменении требований к эксплуатации оборудования, а также давать рекомендации о возможных технических усовершенствованиях.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2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.1.11. Проводить по дополнительному со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глашению Сторон и за отдельную плату аварийно-восстановительный ремонт оборудования, частичного технического освидетельствования (при необходимости), необходимость в котором возникла вследствие нарушения Правил пользования оборудованием и актов вандализма.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ind w:right="-1"/>
        <w:jc w:val="both"/>
        <w:rPr>
          <w:rFonts w:ascii="Liberation Sans" w:hAnsi="Liberation Sans" w:cs="Liberation Sans"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bCs/>
          <w:color w:val="000000" w:themeColor="text1"/>
          <w:sz w:val="22"/>
          <w:szCs w:val="22"/>
          <w:highlight w:val="white"/>
        </w:rPr>
        <w:t xml:space="preserve">2</w:t>
      </w:r>
      <w:r>
        <w:rPr>
          <w:rFonts w:ascii="Liberation Sans" w:hAnsi="Liberation Sans" w:eastAsia="Liberation Sans" w:cs="Liberation Sans"/>
          <w:bCs/>
          <w:color w:val="000000" w:themeColor="text1"/>
          <w:sz w:val="22"/>
          <w:szCs w:val="22"/>
          <w:highlight w:val="white"/>
        </w:rPr>
        <w:t xml:space="preserve">.1.12. После оказания услуг оформлять </w:t>
      </w:r>
      <w:r>
        <w:rPr>
          <w:rFonts w:ascii="Liberation Sans" w:hAnsi="Liberation Sans" w:eastAsia="Liberation Sans" w:cs="Liberation Sans"/>
          <w:bCs/>
          <w:color w:val="000000" w:themeColor="text1"/>
          <w:sz w:val="22"/>
          <w:szCs w:val="22"/>
          <w:highlight w:val="white"/>
        </w:rPr>
        <w:t xml:space="preserve">универсальный передаточный документ (далее – УПД) </w:t>
      </w:r>
      <w:r>
        <w:rPr>
          <w:rFonts w:ascii="Liberation Sans" w:hAnsi="Liberation Sans" w:eastAsia="Liberation Sans" w:cs="Liberation Sans"/>
          <w:bCs/>
          <w:color w:val="000000" w:themeColor="text1"/>
          <w:sz w:val="22"/>
          <w:szCs w:val="22"/>
          <w:highlight w:val="white"/>
        </w:rPr>
        <w:t xml:space="preserve">и счета на оплату.</w:t>
      </w:r>
      <w:r>
        <w:rPr>
          <w:rFonts w:ascii="Liberation Sans" w:hAnsi="Liberation Sans" w:cs="Liberation Sans"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Cs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Cs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b/>
          <w:color w:val="000000" w:themeColor="text1"/>
          <w:sz w:val="22"/>
          <w:szCs w:val="22"/>
          <w:highlight w:val="white"/>
        </w:rPr>
        <w:t xml:space="preserve">2</w:t>
      </w:r>
      <w:r>
        <w:rPr>
          <w:rFonts w:ascii="Liberation Sans" w:hAnsi="Liberation Sans" w:eastAsia="Liberation Sans" w:cs="Liberation Sans"/>
          <w:b/>
          <w:color w:val="000000" w:themeColor="text1"/>
          <w:sz w:val="22"/>
          <w:szCs w:val="22"/>
          <w:highlight w:val="white"/>
        </w:rPr>
        <w:t xml:space="preserve">.2. Заказчик обязуется: </w:t>
      </w:r>
      <w:r>
        <w:rPr>
          <w:rFonts w:ascii="Liberation Sans" w:hAnsi="Liberation Sans" w:cs="Liberation Sans"/>
          <w:b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2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.2.1. Н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азначить в соответствии с требованиями 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регламента ТР ТС-010/2011 «О безопасности машин и оборудования» и поддерживающих его ГОСТов, постановления правительства РФ от 20.10.2023г. № 1744 лицо, ответственное за организацию эксплуатации лифтов.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2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.2.2. Передать Исполнителю техническую документацию, в т.ч. паспорта, копию инструкций по эксплуатации оборудования перечисленных в п.1.1. Настоящей документации.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2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.2.3. Производить регистрацию, снятие с регистрации, направлять уведомления о выводе и вводе оборудования в эксплуатацию в уполномоченные органы Российско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й Федерации по обеспечению государственного контроля (надзора) за соблюдением требований технических регламентов Таможенного союза «Безопасность лифтов» и «О безопасности машин и оборудования», согласно Постановлению Правительства РФ № 1744 от 20.10.2023г.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2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.2.4. Использовать оборудование по назначению в соответствии с указанными данными в паспорте оборудования.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2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.2.5. Своевременно производить страхование оборудования в соответствии с Федеральным законом «Об обязательном страховании гражданской ответственности владельца опасного объекта за причинение вреда в результате аварии на опасном объекте»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2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.2.6. Производить необходимый ремонт машинных, блочных помещений и шахт оборудования не связанного с техническим обслуживанием оборудования в присутствии персонала Исполнителя.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2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.2.7. Обеспечить температурный режим в машинных, блочных помещениях и шахтах оборудования в соответствии с нормативно-технической документацией завода-изготовителя (+1 - +40 град. С).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2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.2.8. Исключить попадание влаги на оборудование, а в случае затопления приямков, машинных помещений своими силами производить устранение причин, удаление воды, их осушение.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2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.2.9. Предоставлять Исполнителю доступ к оборудованию в любое время суток.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2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.2.10. Обеспечить в соответствии с требованиями норматив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ной документации содержание подходов к  машинным и блочным помещениям, постоянное закрытие их дверей замками, а также обеспечить достаточное электрическое освещение машинных помещений, подходов к данным помещениям и посадочных площадок перед дверями шахты.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2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.2.11. Обеспечить беспрепятственный круглосуточный доступ квалифицированного обслуживающего персонала к оборудованию путём выдачи Исполнителю ключей от подъездов (домофонов), чердачного помещения (технических этажей), машинных помещений.  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2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.2.12. Доставлять по заявке Исполнителя непосредственно к оборудованию тарированный груз при необходимости проведения динамического и статистического испытания оборудования (если испытания не проводятся по иной методике).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2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.2.13. Проводить в установленный срок техническое освидетельствование оборудования с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 привлечением испытательной лаборатории, аккредитованной в порядке, установленном законодательством РФ об аккредитации в национальной системе аккредитации в соответствии п.25 постановления правительства РФ от 20.10.2023г. № 1744 или экспертной организации.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2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.2.14. Немедленно уведомить уполномоченный орган Российской Федерации по обеспечению государственного контроля (надзора) за соблюдением требований технических регламентов Таможенного союза «Безопасность лифтов» и «О безопасности машин 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и оборудования» и Исполнителя об авариях, происшедших на оборудовании, обеспечить сохранность места аварии или несчастного случая до прибытия инспектора (если нет опасности для жизни и здоровья людей) и принимать участие в работе комиссии по расследованию.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2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.2.15. 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 Подписать 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УПД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 в течение 5 (пяти) рабочих дней с момента выполнения работ и получения 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УПД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 от Исполнителя или уполномоченного представителя Исполнителя. 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В случае, если Заказчик УПД не подписал, возражений по нему не представил, уклоняется от его получения, данный УПД считается надлежащим образом оформленным в соответствии с условиями заключенного договора, а работы считаются принятыми. 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2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.2.15. Оплатить выполненные работы согласно подписанного сторонами, а в случае неподписания со стороны Заказчика – подписанного Исполнителем УПД.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jc w:val="center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2"/>
          <w:szCs w:val="22"/>
          <w:highlight w:val="white"/>
        </w:rPr>
        <w:t xml:space="preserve">3</w:t>
      </w:r>
      <w:r>
        <w:rPr>
          <w:rFonts w:ascii="Liberation Sans" w:hAnsi="Liberation Sans" w:eastAsia="Liberation Sans" w:cs="Liberation Sans"/>
          <w:b/>
          <w:bCs/>
          <w:color w:val="000000" w:themeColor="text1"/>
          <w:sz w:val="22"/>
          <w:szCs w:val="22"/>
          <w:highlight w:val="white"/>
        </w:rPr>
        <w:t xml:space="preserve">. ГАРАНТИЯ КАЧЕСТВА</w:t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pStyle w:val="881"/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3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.1. Исполнитель гарантирует качество работ, выполняемых по договору и их соответствие стандартам, нормам и правилам.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jc w:val="center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2"/>
          <w:szCs w:val="22"/>
          <w:highlight w:val="white"/>
        </w:rPr>
        <w:t xml:space="preserve">4</w:t>
      </w:r>
      <w:r>
        <w:rPr>
          <w:rFonts w:ascii="Liberation Sans" w:hAnsi="Liberation Sans" w:eastAsia="Liberation Sans" w:cs="Liberation Sans"/>
          <w:b/>
          <w:bCs/>
          <w:color w:val="000000" w:themeColor="text1"/>
          <w:sz w:val="22"/>
          <w:szCs w:val="22"/>
          <w:highlight w:val="white"/>
        </w:rPr>
        <w:t xml:space="preserve">. ПОРЯДОК И УСЛОВИЯ РАСЧЕТОВ</w:t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4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.1.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 Опла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та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 производится 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в т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ечении 7 рабочих дней с даты подписания сторонами 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УПД.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 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 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Оплата за декабрь 2027 года производится Заказчиком 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в течение </w:t>
      </w:r>
      <w:r>
        <w:rPr>
          <w:rFonts w:ascii="Liberation Sans" w:hAnsi="Liberation Sans" w:eastAsia="Liberation Sans" w:cs="Liberation Sans"/>
          <w:b/>
          <w:bCs/>
          <w:color w:val="000000" w:themeColor="text1"/>
          <w:sz w:val="22"/>
          <w:szCs w:val="22"/>
          <w:highlight w:val="white"/>
        </w:rPr>
        <w:t xml:space="preserve">7 (семи) рабочих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 </w:t>
      </w:r>
      <w:r>
        <w:rPr>
          <w:rFonts w:ascii="Liberation Sans" w:hAnsi="Liberation Sans" w:eastAsia="Liberation Sans" w:cs="Liberation Sans"/>
          <w:b/>
          <w:bCs/>
          <w:color w:val="000000" w:themeColor="text1"/>
          <w:sz w:val="22"/>
          <w:szCs w:val="22"/>
          <w:highlight w:val="white"/>
        </w:rPr>
        <w:t xml:space="preserve">дней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 на основании счета, предоставленного Исполнителем  до 10.12.2027, с последующим подписанием сторонами УПД.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 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Источник финансирования: </w:t>
      </w:r>
      <w:r>
        <w:rPr>
          <w:rFonts w:ascii="Liberation Sans" w:hAnsi="Liberation Sans" w:eastAsia="Liberation Sans" w:cs="Liberation Sans"/>
          <w:b/>
          <w:bCs/>
          <w:color w:val="000000" w:themeColor="text1"/>
          <w:sz w:val="22"/>
          <w:szCs w:val="22"/>
          <w:highlight w:val="white"/>
        </w:rPr>
        <w:t xml:space="preserve">субсидия на выполнение муниципального задания.</w:t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4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.2. 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 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Стоимость услуг, при наличии в том необходимости и объективных реальностей, может в период срока действия договора изменяться по соглашению сторо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н в сроки, которые могут быть дополнительно определены сторонами договора, но не чаще одного раза в год. При этом новая стоимость услуг и общая сумма по договору принимается к исполнению по дополнительному соглашению Сторон, оформленному в письменном виде.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4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.3. 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  <w:lang w:eastAsia="ru-RU"/>
        </w:rPr>
        <w:t xml:space="preserve">В случае изменения банковских реквизитов Подрядчик обязан в течение 3 (трех) рабочих дней 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  <w:lang w:eastAsia="ru-RU"/>
        </w:rPr>
        <w:t xml:space="preserve">с даты изменения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  <w:lang w:eastAsia="ru-RU"/>
        </w:rPr>
        <w:t xml:space="preserve"> в письменной форме сообщить об этом Заказчику с указанием новых реквизитов. Все риски, связанные с перечислением Заказчиком денежных средств на указанный в Договоре счет Подрядчика, несет Подрядчик.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94"/>
        <w:jc w:val="both"/>
        <w:rPr>
          <w:rFonts w:ascii="Liberation Sans" w:hAnsi="Liberation Sans"/>
          <w:color w:val="000000" w:themeColor="text1"/>
          <w:sz w:val="22"/>
          <w:szCs w:val="22"/>
          <w:highlight w:val="white"/>
        </w:rPr>
      </w:pPr>
      <w:r>
        <w:rPr>
          <w:color w:val="000000" w:themeColor="text1"/>
          <w:sz w:val="22"/>
          <w:szCs w:val="22"/>
          <w:highlight w:val="white"/>
        </w:rPr>
      </w:r>
      <w:bookmarkStart w:id="0" w:name="undefined"/>
      <w:r>
        <w:rPr>
          <w:color w:val="000000" w:themeColor="text1"/>
          <w:sz w:val="22"/>
          <w:szCs w:val="22"/>
          <w:highlight w:val="white"/>
        </w:rPr>
      </w:r>
      <w:bookmarkEnd w:id="0"/>
      <w:r>
        <w:rPr>
          <w:rFonts w:ascii="Liberation Sans" w:hAnsi="Liberation Sans"/>
          <w:color w:val="000000" w:themeColor="text1"/>
          <w:sz w:val="22"/>
          <w:szCs w:val="22"/>
          <w:highlight w:val="white"/>
        </w:rPr>
        <w:t xml:space="preserve">4</w:t>
      </w:r>
      <w:r>
        <w:rPr>
          <w:rFonts w:ascii="Liberation Sans" w:hAnsi="Liberation Sans"/>
          <w:color w:val="000000" w:themeColor="text1"/>
          <w:sz w:val="22"/>
          <w:szCs w:val="22"/>
          <w:highlight w:val="white"/>
        </w:rPr>
        <w:t xml:space="preserve">.4</w:t>
      </w:r>
      <w:r>
        <w:rPr>
          <w:rFonts w:ascii="Liberation Sans" w:hAnsi="Liberation Sans"/>
          <w:color w:val="000000" w:themeColor="text1"/>
          <w:sz w:val="22"/>
          <w:szCs w:val="22"/>
          <w:highlight w:val="white"/>
        </w:rPr>
        <w:t xml:space="preserve">. </w:t>
      </w:r>
      <w:r>
        <w:rPr>
          <w:rFonts w:ascii="Liberation Sans" w:hAnsi="Liberation Sans"/>
          <w:color w:val="000000" w:themeColor="text1"/>
          <w:sz w:val="22"/>
          <w:szCs w:val="22"/>
          <w:highlight w:val="white"/>
        </w:rPr>
        <w:t xml:space="preserve">В течение 5 (пяти) рабочих дней месяца следующего за расчетным, Подрядчик обязан передать Заказчику УПД, подписанный со своей Стороны.</w:t>
      </w:r>
      <w:r>
        <w:rPr>
          <w:rFonts w:ascii="Liberation Sans" w:hAnsi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/>
          <w:color w:val="000000" w:themeColor="text1"/>
          <w:sz w:val="22"/>
          <w:szCs w:val="22"/>
          <w:highlight w:val="white"/>
        </w:rPr>
      </w:r>
    </w:p>
    <w:p>
      <w:pPr>
        <w:pStyle w:val="894"/>
        <w:jc w:val="both"/>
        <w:rPr>
          <w:rFonts w:ascii="Liberation Sans" w:hAnsi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/>
          <w:color w:val="000000" w:themeColor="text1"/>
          <w:sz w:val="22"/>
          <w:szCs w:val="22"/>
          <w:highlight w:val="white"/>
        </w:rPr>
        <w:t xml:space="preserve">4</w:t>
      </w:r>
      <w:r>
        <w:rPr>
          <w:rFonts w:ascii="Liberation Sans" w:hAnsi="Liberation Sans"/>
          <w:color w:val="000000" w:themeColor="text1"/>
          <w:sz w:val="22"/>
          <w:szCs w:val="22"/>
          <w:highlight w:val="white"/>
        </w:rPr>
        <w:t xml:space="preserve">.5</w:t>
      </w:r>
      <w:r>
        <w:rPr>
          <w:rFonts w:ascii="Liberation Sans" w:hAnsi="Liberation Sans"/>
          <w:color w:val="000000" w:themeColor="text1"/>
          <w:sz w:val="22"/>
          <w:szCs w:val="22"/>
          <w:highlight w:val="white"/>
        </w:rPr>
        <w:t xml:space="preserve">. Заказчик производит приемку выполненных работ в течение 10 рабочих дней со дня получения УПД и направляет Подрядчику подписанный УПД или мотивированный отказ в приемке выполненных работ.</w:t>
      </w:r>
      <w:r>
        <w:rPr>
          <w:rFonts w:ascii="Liberation Sans" w:hAnsi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/>
          <w:color w:val="000000" w:themeColor="text1"/>
          <w:sz w:val="22"/>
          <w:szCs w:val="22"/>
          <w:highlight w:val="white"/>
        </w:rPr>
      </w:r>
    </w:p>
    <w:p>
      <w:pPr>
        <w:pStyle w:val="894"/>
        <w:jc w:val="both"/>
        <w:rPr>
          <w:rFonts w:ascii="Liberation Sans" w:hAnsi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/>
          <w:color w:val="000000" w:themeColor="text1"/>
          <w:sz w:val="22"/>
          <w:szCs w:val="22"/>
          <w:highlight w:val="white"/>
        </w:rPr>
        <w:t xml:space="preserve">4</w:t>
      </w:r>
      <w:r>
        <w:rPr>
          <w:rFonts w:ascii="Liberation Sans" w:hAnsi="Liberation Sans"/>
          <w:color w:val="000000" w:themeColor="text1"/>
          <w:sz w:val="22"/>
          <w:szCs w:val="22"/>
          <w:highlight w:val="white"/>
        </w:rPr>
        <w:t xml:space="preserve">.6</w:t>
      </w:r>
      <w:r>
        <w:rPr>
          <w:rFonts w:ascii="Liberation Sans" w:hAnsi="Liberation Sans"/>
          <w:color w:val="000000" w:themeColor="text1"/>
          <w:sz w:val="22"/>
          <w:szCs w:val="22"/>
          <w:highlight w:val="white"/>
        </w:rPr>
        <w:t xml:space="preserve">. В случае отступления Подрядчиком от условий договора Заказчик при приемке выпол</w:t>
      </w:r>
      <w:r>
        <w:rPr>
          <w:rFonts w:ascii="Liberation Sans" w:hAnsi="Liberation Sans"/>
          <w:color w:val="000000" w:themeColor="text1"/>
          <w:sz w:val="22"/>
          <w:szCs w:val="22"/>
          <w:highlight w:val="white"/>
        </w:rPr>
        <w:t xml:space="preserve">ненных работ составляет мотивированный отказ и направляет его Подрядчику с указанием сроков устранения недостатков. Обнаруженные недостатки устраняются Подрядчиком за свой счет. При устранении недостатков Сторонами подписывается акт устранения недостатков.</w:t>
      </w:r>
      <w:r>
        <w:rPr>
          <w:rFonts w:ascii="Liberation Sans" w:hAnsi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/>
          <w:color w:val="000000" w:themeColor="text1"/>
          <w:sz w:val="22"/>
          <w:szCs w:val="22"/>
          <w:highlight w:val="white"/>
        </w:rPr>
      </w:r>
    </w:p>
    <w:p>
      <w:pPr>
        <w:pStyle w:val="894"/>
        <w:jc w:val="both"/>
        <w:rPr>
          <w:rFonts w:ascii="Liberation Sans" w:hAnsi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/>
          <w:color w:val="000000" w:themeColor="text1"/>
          <w:sz w:val="22"/>
          <w:szCs w:val="22"/>
          <w:highlight w:val="white"/>
        </w:rPr>
        <w:t xml:space="preserve">4</w:t>
      </w:r>
      <w:r>
        <w:rPr>
          <w:rFonts w:ascii="Liberation Sans" w:hAnsi="Liberation Sans"/>
          <w:color w:val="000000" w:themeColor="text1"/>
          <w:sz w:val="22"/>
          <w:szCs w:val="22"/>
          <w:highlight w:val="white"/>
        </w:rPr>
        <w:t xml:space="preserve">.7</w:t>
      </w:r>
      <w:r>
        <w:rPr>
          <w:rFonts w:ascii="Liberation Sans" w:hAnsi="Liberation Sans"/>
          <w:color w:val="000000" w:themeColor="text1"/>
          <w:sz w:val="22"/>
          <w:szCs w:val="22"/>
          <w:highlight w:val="white"/>
        </w:rPr>
        <w:t xml:space="preserve">. В случае</w:t>
      </w:r>
      <w:r>
        <w:rPr>
          <w:rFonts w:ascii="Liberation Sans" w:hAnsi="Liberation Sans"/>
          <w:color w:val="000000" w:themeColor="text1"/>
          <w:sz w:val="22"/>
          <w:szCs w:val="22"/>
          <w:highlight w:val="white"/>
        </w:rPr>
        <w:t xml:space="preserve">,</w:t>
      </w:r>
      <w:r>
        <w:rPr>
          <w:rFonts w:ascii="Liberation Sans" w:hAnsi="Liberation Sans"/>
          <w:color w:val="000000" w:themeColor="text1"/>
          <w:sz w:val="22"/>
          <w:szCs w:val="22"/>
          <w:highlight w:val="white"/>
        </w:rPr>
        <w:t xml:space="preserve"> если Подрядчик не устранил допущенные им недостатки в сроки, установленные Заказчиком, Заказчик вправе отказаться от исполнения договора, а также потребовать от Подрядчика возмещения понесенных расходов или убытков.</w:t>
      </w:r>
      <w:r>
        <w:rPr>
          <w:rFonts w:ascii="Liberation Sans" w:hAnsi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/>
          <w:color w:val="000000" w:themeColor="text1"/>
          <w:sz w:val="22"/>
          <w:szCs w:val="22"/>
          <w:highlight w:val="white"/>
        </w:rPr>
      </w:r>
    </w:p>
    <w:p>
      <w:pPr>
        <w:pStyle w:val="894"/>
        <w:jc w:val="both"/>
        <w:rPr>
          <w:rFonts w:ascii="Liberation Sans" w:hAnsi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/>
          <w:color w:val="000000" w:themeColor="text1"/>
          <w:sz w:val="22"/>
          <w:szCs w:val="22"/>
          <w:highlight w:val="white"/>
        </w:rPr>
        <w:t xml:space="preserve">4</w:t>
      </w:r>
      <w:r>
        <w:rPr>
          <w:rFonts w:ascii="Liberation Sans" w:hAnsi="Liberation Sans"/>
          <w:color w:val="000000" w:themeColor="text1"/>
          <w:sz w:val="22"/>
          <w:szCs w:val="22"/>
          <w:highlight w:val="white"/>
        </w:rPr>
        <w:t xml:space="preserve">.8</w:t>
      </w:r>
      <w:r>
        <w:rPr>
          <w:rFonts w:ascii="Liberation Sans" w:hAnsi="Liberation Sans"/>
          <w:color w:val="000000" w:themeColor="text1"/>
          <w:sz w:val="22"/>
          <w:szCs w:val="22"/>
          <w:highlight w:val="white"/>
        </w:rPr>
        <w:t xml:space="preserve">. Обязательства Подрядчика по выполнению работ считаются исполненными после подписания Заказчиком УПД.</w:t>
      </w:r>
      <w:r>
        <w:rPr>
          <w:rFonts w:ascii="Liberation Sans" w:hAnsi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/>
          <w:color w:val="000000" w:themeColor="text1"/>
          <w:sz w:val="22"/>
          <w:szCs w:val="22"/>
          <w:highlight w:val="white"/>
        </w:rPr>
      </w:r>
    </w:p>
    <w:p>
      <w:pPr>
        <w:ind w:left="0" w:right="0" w:firstLine="0"/>
        <w:jc w:val="both"/>
        <w:spacing w:before="0" w:after="0" w:line="240" w:lineRule="auto"/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4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.9.  Од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новременно с подписанием УПД, в течение 5 дней со дня его получения, Заказчик оформляет Акт приемки товаров, работ, услуг по Форме 0510452 (ф.0510452), утвержденной Приказом Министерства финансов России от 15.04.2021г. № 61н (Методические указания №61н). 
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ind w:left="0" w:right="0" w:firstLine="0"/>
        <w:jc w:val="both"/>
        <w:spacing w:before="0" w:after="0" w:line="240" w:lineRule="auto"/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4.10.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 Стороны определились, что подпись 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Исполнителя н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а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 Акте приемки товаров, работ, услуг по ф.05100452 необходима только при наличии качественных и количественных расхождений 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в 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оказанных услугах.  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 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 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jc w:val="center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2"/>
          <w:szCs w:val="22"/>
          <w:highlight w:val="white"/>
        </w:rPr>
        <w:t xml:space="preserve">5</w:t>
      </w:r>
      <w:r>
        <w:rPr>
          <w:rFonts w:ascii="Liberation Sans" w:hAnsi="Liberation Sans" w:eastAsia="Liberation Sans" w:cs="Liberation Sans"/>
          <w:b/>
          <w:bCs/>
          <w:color w:val="000000" w:themeColor="text1"/>
          <w:sz w:val="22"/>
          <w:szCs w:val="22"/>
          <w:highlight w:val="white"/>
        </w:rPr>
        <w:t xml:space="preserve">. ПРАВА СТОРОН</w:t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pStyle w:val="881"/>
        <w:rPr>
          <w:rFonts w:ascii="Liberation Sans" w:hAnsi="Liberation Sans" w:cs="Liberation Sans"/>
          <w:b w:val="0"/>
          <w:bCs w:val="0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5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.1. Исполнитель </w:t>
      </w:r>
      <w:r>
        <w:rPr>
          <w:rFonts w:ascii="Liberation Sans" w:hAnsi="Liberation Sans" w:eastAsia="Liberation Sans" w:cs="Liberation Sans"/>
          <w:b w:val="0"/>
          <w:bCs w:val="0"/>
          <w:color w:val="000000" w:themeColor="text1"/>
          <w:sz w:val="22"/>
          <w:szCs w:val="22"/>
          <w:highlight w:val="white"/>
        </w:rPr>
        <w:t xml:space="preserve">имеет право приостанавливать работу лифтов:</w:t>
      </w:r>
      <w:r>
        <w:rPr>
          <w:rFonts w:ascii="Liberation Sans" w:hAnsi="Liberation Sans" w:cs="Liberation Sans"/>
          <w:b w:val="0"/>
          <w:bCs w:val="0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 w:val="0"/>
          <w:bCs w:val="0"/>
          <w:color w:val="000000" w:themeColor="text1"/>
          <w:sz w:val="22"/>
          <w:szCs w:val="22"/>
          <w:highlight w:val="white"/>
        </w:rPr>
      </w:r>
    </w:p>
    <w:p>
      <w:pPr>
        <w:pStyle w:val="881"/>
        <w:rPr>
          <w:rFonts w:ascii="Liberation Sans" w:hAnsi="Liberation Sans" w:cs="Liberation Sans"/>
          <w:b w:val="0"/>
          <w:bCs w:val="0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b w:val="0"/>
          <w:bCs w:val="0"/>
          <w:color w:val="000000" w:themeColor="text1"/>
          <w:sz w:val="22"/>
          <w:szCs w:val="22"/>
          <w:highlight w:val="white"/>
        </w:rPr>
        <w:t xml:space="preserve">      </w:t>
      </w:r>
      <w:r>
        <w:rPr>
          <w:rFonts w:ascii="Liberation Sans" w:hAnsi="Liberation Sans" w:eastAsia="Liberation Sans" w:cs="Liberation Sans"/>
          <w:b w:val="0"/>
          <w:bCs w:val="0"/>
          <w:color w:val="000000" w:themeColor="text1"/>
          <w:sz w:val="22"/>
          <w:szCs w:val="22"/>
          <w:highlight w:val="white"/>
        </w:rPr>
        <w:t xml:space="preserve">- при нарушении правил их безопасной эксплуатации, </w:t>
      </w:r>
      <w:r>
        <w:rPr>
          <w:rFonts w:ascii="Liberation Sans" w:hAnsi="Liberation Sans" w:eastAsia="Liberation Sans" w:cs="Liberation Sans"/>
          <w:b w:val="0"/>
          <w:bCs w:val="0"/>
          <w:color w:val="000000" w:themeColor="text1"/>
          <w:sz w:val="22"/>
          <w:szCs w:val="22"/>
          <w:highlight w:val="white"/>
        </w:rPr>
        <w:t xml:space="preserve">при обнаружении нарушений требований, указанных в регламенте ТР ТС-010/2011 «О безопасности машин и оборудования» и поддерживающих его ГОСТов, постановления правительства РФ от 20.10.2023г. № 1744;</w:t>
      </w:r>
      <w:r>
        <w:rPr>
          <w:rFonts w:ascii="Liberation Sans" w:hAnsi="Liberation Sans" w:cs="Liberation Sans"/>
          <w:b w:val="0"/>
          <w:bCs w:val="0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 w:val="0"/>
          <w:bCs w:val="0"/>
          <w:color w:val="000000" w:themeColor="text1"/>
          <w:sz w:val="22"/>
          <w:szCs w:val="22"/>
          <w:highlight w:val="white"/>
        </w:rPr>
      </w:r>
    </w:p>
    <w:p>
      <w:pPr>
        <w:pStyle w:val="881"/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      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- в случае задержки Заказчиком платежей более двух месяцев, Исполнитель вправе приостановить выполнение работ по техническому обслуживанию, предоставив письменное уведомление Заказчику за 15 дней до приостановления работ.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81"/>
        <w:tabs>
          <w:tab w:val="left" w:pos="0" w:leader="none"/>
          <w:tab w:val="left" w:pos="567" w:leader="none"/>
          <w:tab w:val="left" w:pos="709" w:leader="none"/>
        </w:tabs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5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.2.  В случае, если простой оборудования произошёл не по вине Исполнителя, Заказчик оплачивает полную стоимость технического обслуживания  за каждое неработающее оборудование. 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81"/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Пуск оборудования в работу Исполнитель производит после устранения Заказчиком выявленных нарушений.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856"/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5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</w:rPr>
        <w:t xml:space="preserve">.3. Заказчик не вправе изменять сумму платежей, если Исполнитель выполнил работы по техническому обслуживанию оборудования, но они простаивают по вине Заказчика, не обеспечивающего выполнение своих обязанностей.</w:t>
      </w:r>
      <w:r>
        <w:rPr>
          <w:rFonts w:ascii="Liberation Sans" w:hAnsi="Liberation Sans" w:eastAsia="Liberation Sans" w:cs="Liberation Sans"/>
          <w:b/>
          <w:bCs/>
          <w:color w:val="000000" w:themeColor="text1"/>
          <w:sz w:val="22"/>
          <w:szCs w:val="22"/>
          <w:highlight w:val="white"/>
        </w:rPr>
        <w:t xml:space="preserve"> </w:t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non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none"/>
        </w:rPr>
      </w:r>
    </w:p>
    <w:p>
      <w:pPr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p>
      <w:pPr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tbl>
      <w:tblPr>
        <w:tblStyle w:val="713"/>
        <w:tblW w:w="0" w:type="auto"/>
        <w:tblLook w:val="04A0" w:firstRow="1" w:lastRow="0" w:firstColumn="1" w:lastColumn="0" w:noHBand="0" w:noVBand="1"/>
      </w:tblPr>
      <w:tblGrid>
        <w:gridCol w:w="593"/>
        <w:gridCol w:w="5663"/>
        <w:gridCol w:w="4508"/>
      </w:tblGrid>
      <w:tr>
        <w:tblPrEx/>
        <w:trPr>
          <w:trHeight w:val="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right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Приложение № 1</w:t>
            </w:r>
            <w:r/>
          </w:p>
        </w:tc>
      </w:tr>
      <w:tr>
        <w:tblPrEx/>
        <w:trPr>
          <w:trHeight w:val="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right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</w:tr>
      <w:tr>
        <w:tblPrEx/>
        <w:trPr>
          <w:trHeight w:val="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right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</w:tr>
      <w:tr>
        <w:tblPrEx/>
        <w:trPr>
          <w:trHeight w:val="0"/>
        </w:trPr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65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Общий перечень работ </w:t>
            </w:r>
            <w:r/>
          </w:p>
        </w:tc>
      </w:tr>
      <w:tr>
        <w:tblPrEx/>
        <w:trPr>
          <w:trHeight w:val="0"/>
        </w:trPr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65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выполняемый при техническом обслуживании платформ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№ п/п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Содержание работ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</w:p>
        </w:tc>
        <w:tc>
          <w:tcPr>
            <w:gridSpan w:val="2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172" w:type="dxa"/>
            <w:vAlign w:val="bottom"/>
            <w:textDirection w:val="lrTb"/>
            <w:noWrap w:val="false"/>
          </w:tcPr>
          <w:p>
            <w:pPr>
              <w:jc w:val="left"/>
            </w:pPr>
            <w:r>
              <w:rPr>
                <w:rFonts w:ascii="Liberation Sans" w:hAnsi="Liberation Sans" w:eastAsia="Liberation Sans" w:cs="Liberation Sans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Лебедка:</w:t>
            </w:r>
            <w:r/>
          </w:p>
        </w:tc>
      </w:tr>
      <w:tr>
        <w:tblPrEx/>
        <w:trPr>
          <w:trHeight w:val="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 - состояние крепления, внешний вид;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*</w:t>
            </w:r>
            <w:r/>
          </w:p>
        </w:tc>
      </w:tr>
      <w:tr>
        <w:tblPrEx/>
        <w:trPr>
          <w:trHeight w:val="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 - уровень масла;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*</w:t>
            </w:r>
            <w:r/>
          </w:p>
        </w:tc>
      </w:tr>
      <w:tr>
        <w:tblPrEx/>
        <w:trPr>
          <w:trHeight w:val="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 - отход рычагов от тормозного шкива;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*</w:t>
            </w:r>
            <w:r/>
          </w:p>
        </w:tc>
      </w:tr>
      <w:tr>
        <w:tblPrEx/>
        <w:trPr>
          <w:trHeight w:val="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 - износ накладок тормоза;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*</w:t>
            </w:r>
            <w:r/>
          </w:p>
        </w:tc>
      </w:tr>
      <w:tr>
        <w:tblPrEx/>
        <w:trPr>
          <w:trHeight w:val="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 - износ червячной пары;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*</w:t>
            </w:r>
            <w:r/>
          </w:p>
        </w:tc>
      </w:tr>
      <w:tr>
        <w:tblPrEx/>
        <w:trPr>
          <w:trHeight w:val="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 - износ ручьев КВШ;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*</w:t>
            </w:r>
            <w:r/>
          </w:p>
        </w:tc>
      </w:tr>
      <w:tr>
        <w:tblPrEx/>
        <w:trPr>
          <w:trHeight w:val="57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 - зазор между ограничителем сбрасывания канатов и тяговыми канатами;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*</w:t>
            </w:r>
            <w:r/>
          </w:p>
        </w:tc>
      </w:tr>
      <w:tr>
        <w:tblPrEx/>
        <w:trPr>
          <w:trHeight w:val="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 - точность остановки;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*</w:t>
            </w:r>
            <w:r/>
          </w:p>
        </w:tc>
      </w:tr>
      <w:tr>
        <w:tblPrEx/>
        <w:trPr>
          <w:trHeight w:val="0"/>
        </w:trPr>
        <w:tc>
          <w:tcPr>
            <w:tcBorders>
              <w:top w:val="none" w:color="000000" w:sz="4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 - электродвигатель.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</w:t>
            </w:r>
            <w:r/>
          </w:p>
        </w:tc>
        <w:tc>
          <w:tcPr>
            <w:gridSpan w:val="2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172" w:type="dxa"/>
            <w:vAlign w:val="bottom"/>
            <w:textDirection w:val="lrTb"/>
            <w:noWrap w:val="false"/>
          </w:tcPr>
          <w:p>
            <w:pPr>
              <w:jc w:val="left"/>
            </w:pPr>
            <w:r>
              <w:rPr>
                <w:rFonts w:ascii="Liberation Sans" w:hAnsi="Liberation Sans" w:eastAsia="Liberation Sans" w:cs="Liberation Sans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Кабина:</w:t>
            </w:r>
            <w:r/>
          </w:p>
        </w:tc>
      </w:tr>
      <w:tr>
        <w:tblPrEx/>
        <w:trPr>
          <w:trHeight w:val="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 - состояние крепежа, внешний вид;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*</w:t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 - усиление подтягивания клиньев ловителя к направляющим;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*</w:t>
            </w:r>
            <w:r/>
          </w:p>
        </w:tc>
      </w:tr>
      <w:tr>
        <w:tblPrEx/>
        <w:trPr>
          <w:trHeight w:val="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 - зазор между клиньями ловителя и направляющей;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*</w:t>
            </w:r>
            <w:r/>
          </w:p>
        </w:tc>
      </w:tr>
      <w:tr>
        <w:tblPrEx/>
        <w:trPr>
          <w:trHeight w:val="57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 - прогиб ремня привода дверей кабины в середине ветви от усилия;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*</w:t>
            </w:r>
            <w:r/>
          </w:p>
        </w:tc>
      </w:tr>
      <w:tr>
        <w:tblPrEx/>
        <w:trPr>
          <w:trHeight w:val="57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 - прогиб ремня привода дверей кабины в середине ветви от усилия при разведенных каретках;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*</w:t>
            </w:r>
            <w:r/>
          </w:p>
        </w:tc>
      </w:tr>
      <w:tr>
        <w:tblPrEx/>
        <w:trPr>
          <w:trHeight w:val="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 - износ червячной пары привода дверей кабины;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*</w:t>
            </w:r>
            <w:r/>
          </w:p>
        </w:tc>
      </w:tr>
      <w:tr>
        <w:tblPrEx/>
        <w:trPr>
          <w:trHeight w:val="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 - зазор между створками и порталом;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*</w:t>
            </w:r>
            <w:r/>
          </w:p>
        </w:tc>
      </w:tr>
      <w:tr>
        <w:tblPrEx/>
        <w:trPr>
          <w:trHeight w:val="57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 - размер между щеками отводок расположенных на каретках привода дверей кабины;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*</w:t>
            </w:r>
            <w:r/>
          </w:p>
        </w:tc>
      </w:tr>
      <w:tr>
        <w:tblPrEx/>
        <w:trPr>
          <w:trHeight w:val="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 - исправность действия замка двери кабины;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*</w:t>
            </w:r>
            <w:r/>
          </w:p>
        </w:tc>
      </w:tr>
      <w:tr>
        <w:tblPrEx/>
        <w:trPr>
          <w:trHeight w:val="0"/>
        </w:trPr>
        <w:tc>
          <w:tcPr>
            <w:tcBorders>
              <w:top w:val="none" w:color="000000" w:sz="4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 - износ башмаков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*</w:t>
            </w:r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</w:t>
            </w:r>
            <w:r/>
          </w:p>
        </w:tc>
        <w:tc>
          <w:tcPr>
            <w:gridSpan w:val="2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172" w:type="dxa"/>
            <w:vAlign w:val="bottom"/>
            <w:textDirection w:val="lrTb"/>
            <w:noWrap w:val="false"/>
          </w:tcPr>
          <w:p>
            <w:pPr>
              <w:jc w:val="left"/>
            </w:pPr>
            <w:r>
              <w:rPr>
                <w:rFonts w:ascii="Liberation Sans" w:hAnsi="Liberation Sans" w:eastAsia="Liberation Sans" w:cs="Liberation Sans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Направляющие:</w:t>
            </w:r>
            <w:r/>
          </w:p>
        </w:tc>
      </w:tr>
      <w:tr>
        <w:tblPrEx/>
        <w:trPr>
          <w:trHeight w:val="276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 - состояние крепежа, внешний вид;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¤</w:t>
            </w:r>
            <w:r/>
          </w:p>
        </w:tc>
      </w:tr>
      <w:tr>
        <w:tblPrEx/>
        <w:trPr>
          <w:trHeight w:val="24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*</w:t>
            </w:r>
            <w:r/>
          </w:p>
        </w:tc>
      </w:tr>
      <w:tr>
        <w:tblPrEx/>
        <w:trPr>
          <w:trHeight w:val="0"/>
        </w:trPr>
        <w:tc>
          <w:tcPr>
            <w:tcBorders>
              <w:top w:val="none" w:color="000000" w:sz="4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 - штихмас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*</w:t>
            </w:r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4</w:t>
            </w:r>
            <w:r/>
          </w:p>
        </w:tc>
        <w:tc>
          <w:tcPr>
            <w:gridSpan w:val="2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172" w:type="dxa"/>
            <w:vAlign w:val="bottom"/>
            <w:textDirection w:val="lrTb"/>
            <w:noWrap w:val="false"/>
          </w:tcPr>
          <w:p>
            <w:pPr>
              <w:jc w:val="left"/>
            </w:pPr>
            <w:r>
              <w:rPr>
                <w:rFonts w:ascii="Liberation Sans" w:hAnsi="Liberation Sans" w:eastAsia="Liberation Sans" w:cs="Liberation Sans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Дверь шахты:</w:t>
            </w:r>
            <w:r/>
          </w:p>
        </w:tc>
      </w:tr>
      <w:tr>
        <w:tblPrEx/>
        <w:trPr>
          <w:trHeight w:val="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 - состояние крепежа, внешний вид;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*</w:t>
            </w:r>
            <w:r/>
          </w:p>
        </w:tc>
      </w:tr>
      <w:tr>
        <w:tblPrEx/>
        <w:trPr>
          <w:trHeight w:val="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 - зазор между створками и порталом;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*</w:t>
            </w:r>
            <w:r/>
          </w:p>
        </w:tc>
      </w:tr>
      <w:tr>
        <w:tblPrEx/>
        <w:trPr>
          <w:trHeight w:val="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 - зазор между контрроликами кареток и линейкой;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*</w:t>
            </w:r>
            <w:r/>
          </w:p>
        </w:tc>
      </w:tr>
      <w:tr>
        <w:tblPrEx/>
        <w:trPr>
          <w:trHeight w:val="57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 - глубина входа роликов дверей шахты в отводку кабины;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*</w:t>
            </w:r>
            <w:r/>
          </w:p>
        </w:tc>
      </w:tr>
      <w:tr>
        <w:tblPrEx/>
        <w:trPr>
          <w:trHeight w:val="57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 - зазор между роликом дверей шахты и щекой отводки кабины;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*</w:t>
            </w:r>
            <w:r/>
          </w:p>
        </w:tc>
      </w:tr>
      <w:tr>
        <w:tblPrEx/>
        <w:trPr>
          <w:trHeight w:val="57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 - зазор между роликом защелки и основанием блока контроля;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*</w:t>
            </w:r>
            <w:r/>
          </w:p>
        </w:tc>
      </w:tr>
      <w:tr>
        <w:tblPrEx/>
        <w:trPr>
          <w:trHeight w:val="57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 - размер перекрытия  пластины блока контроля защелкой;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*</w:t>
            </w:r>
            <w:r/>
          </w:p>
        </w:tc>
      </w:tr>
      <w:tr>
        <w:tblPrEx/>
        <w:trPr>
          <w:trHeight w:val="85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 - смыкание створок при снятии нагрузки на расстоянии 3-5 мм до полного закрытия дверей шахты;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*</w:t>
            </w:r>
            <w:r/>
          </w:p>
        </w:tc>
      </w:tr>
      <w:tr>
        <w:tblPrEx/>
        <w:trPr>
          <w:trHeight w:val="0"/>
        </w:trPr>
        <w:tc>
          <w:tcPr>
            <w:tcBorders>
              <w:top w:val="none" w:color="000000" w:sz="4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 - усилие статистического сжатия створок.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*</w:t>
            </w:r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5</w:t>
            </w:r>
            <w:r/>
          </w:p>
        </w:tc>
        <w:tc>
          <w:tcPr>
            <w:gridSpan w:val="2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172" w:type="dxa"/>
            <w:vAlign w:val="bottom"/>
            <w:textDirection w:val="lrTb"/>
            <w:noWrap w:val="false"/>
          </w:tcPr>
          <w:p>
            <w:pPr>
              <w:jc w:val="left"/>
            </w:pPr>
            <w:r>
              <w:rPr>
                <w:rFonts w:ascii="Liberation Sans" w:hAnsi="Liberation Sans" w:eastAsia="Liberation Sans" w:cs="Liberation Sans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Ограничитель скорости:</w:t>
            </w:r>
            <w:r/>
          </w:p>
        </w:tc>
      </w:tr>
      <w:tr>
        <w:tblPrEx/>
        <w:trPr>
          <w:trHeight w:val="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 - состояние крепежа, внешний вид;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*</w:t>
            </w:r>
            <w:r/>
          </w:p>
        </w:tc>
      </w:tr>
      <w:tr>
        <w:tblPrEx/>
        <w:trPr>
          <w:trHeight w:val="0"/>
        </w:trPr>
        <w:tc>
          <w:tcPr>
            <w:tcBorders>
              <w:top w:val="none" w:color="000000" w:sz="4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 - износ ручья шкива.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*</w:t>
            </w:r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6</w:t>
            </w:r>
            <w:r/>
          </w:p>
        </w:tc>
        <w:tc>
          <w:tcPr>
            <w:gridSpan w:val="2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172" w:type="dxa"/>
            <w:vAlign w:val="bottom"/>
            <w:textDirection w:val="lrTb"/>
            <w:noWrap w:val="false"/>
          </w:tcPr>
          <w:p>
            <w:pPr>
              <w:jc w:val="left"/>
            </w:pPr>
            <w:r>
              <w:rPr>
                <w:rFonts w:ascii="Liberation Sans" w:hAnsi="Liberation Sans" w:eastAsia="Liberation Sans" w:cs="Liberation Sans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Канаты:</w:t>
            </w:r>
            <w:r/>
          </w:p>
        </w:tc>
      </w:tr>
      <w:tr>
        <w:tblPrEx/>
        <w:trPr>
          <w:trHeight w:val="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 - состояние крепежа, внешний вид;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*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 - допускаемая разность длин пружин подвески противовеса.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*</w:t>
            </w:r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7</w:t>
            </w:r>
            <w:r/>
          </w:p>
        </w:tc>
        <w:tc>
          <w:tcPr>
            <w:gridSpan w:val="2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172" w:type="dxa"/>
            <w:vAlign w:val="bottom"/>
            <w:textDirection w:val="lrTb"/>
            <w:noWrap w:val="false"/>
          </w:tcPr>
          <w:p>
            <w:pPr>
              <w:jc w:val="left"/>
            </w:pPr>
            <w:r>
              <w:rPr>
                <w:rFonts w:ascii="Liberation Sans" w:hAnsi="Liberation Sans" w:eastAsia="Liberation Sans" w:cs="Liberation Sans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Оборудование приямка:</w:t>
            </w:r>
            <w:r/>
          </w:p>
        </w:tc>
      </w:tr>
      <w:tr>
        <w:tblPrEx/>
        <w:trPr>
          <w:trHeight w:val="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 - состояние крепежа, внешний вид;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*</w:t>
            </w:r>
            <w:r/>
          </w:p>
        </w:tc>
      </w:tr>
      <w:tr>
        <w:tblPrEx/>
        <w:trPr>
          <w:trHeight w:val="288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 - установка натяжного устройства, положение горизонтальное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¤</w:t>
            </w:r>
            <w:r/>
          </w:p>
        </w:tc>
      </w:tr>
      <w:tr>
        <w:tblPrEx/>
        <w:trPr>
          <w:trHeight w:val="288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center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*</w:t>
            </w:r>
            <w:r/>
          </w:p>
        </w:tc>
      </w:tr>
      <w:tr>
        <w:tblPrEx/>
        <w:trPr>
          <w:trHeight w:val="0"/>
        </w:trPr>
        <w:tc>
          <w:tcPr>
            <w:tcBorders>
              <w:top w:val="none" w:color="000000" w:sz="4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 - наличие и неисправность внутренней связи.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*</w:t>
            </w:r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8</w:t>
            </w:r>
            <w:r/>
          </w:p>
        </w:tc>
        <w:tc>
          <w:tcPr>
            <w:gridSpan w:val="2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172" w:type="dxa"/>
            <w:vAlign w:val="bottom"/>
            <w:textDirection w:val="lrTb"/>
            <w:noWrap w:val="false"/>
          </w:tcPr>
          <w:p>
            <w:pPr>
              <w:jc w:val="left"/>
            </w:pPr>
            <w:r>
              <w:rPr>
                <w:rFonts w:ascii="Liberation Sans" w:hAnsi="Liberation Sans" w:eastAsia="Liberation Sans" w:cs="Liberation Sans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Электрооборудование:</w:t>
            </w:r>
            <w:r/>
          </w:p>
        </w:tc>
      </w:tr>
      <w:tr>
        <w:tblPrEx/>
        <w:trPr>
          <w:trHeight w:val="85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 - контроль надежности крепления проводов в контактных зажимах устройства управления и панели кабины;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*</w:t>
            </w:r>
            <w:r/>
          </w:p>
        </w:tc>
      </w:tr>
      <w:tr>
        <w:tblPrEx/>
        <w:trPr>
          <w:trHeight w:val="0"/>
        </w:trPr>
        <w:tc>
          <w:tcPr>
            <w:tcBorders>
              <w:top w:val="none" w:color="000000" w:sz="4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 - контроль работоспособности лифта;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*</w:t>
            </w:r>
            <w:r/>
          </w:p>
        </w:tc>
      </w:tr>
      <w:tr>
        <w:tblPrEx/>
        <w:trPr>
          <w:trHeight w:val="84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9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center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Техническое обслуживание электрооборудования, состояния изоляции и заземления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*</w:t>
            </w:r>
            <w:r/>
          </w:p>
        </w:tc>
      </w:tr>
      <w:tr>
        <w:tblPrEx/>
        <w:trPr>
          <w:trHeight w:val="5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10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top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Смазка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*</w:t>
            </w:r>
            <w:r/>
          </w:p>
        </w:tc>
      </w:tr>
      <w:tr>
        <w:tblPrEx/>
        <w:trPr>
          <w:trHeight w:val="141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top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11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top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Проверка концевых выключателей, контактов дверей шахты, контактов ловителей, ограничителей скорости, натяжных устройств, контактоввзвешивающих устройств, а также механической и электрической блокировки магнитных станций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*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</w:tr>
      <w:tr>
        <w:tblPrEx/>
        <w:trPr>
          <w:trHeight w:val="61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172" w:type="dxa"/>
            <w:vAlign w:val="bottom"/>
            <w:textDirection w:val="lrTb"/>
            <w:noWrap w:val="false"/>
          </w:tcPr>
          <w:p>
            <w:pPr>
              <w:jc w:val="left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* - Проверить (при необходимости затянуть, отрегулировать, очистить, смазать, отремонтировать или заменить)</w:t>
            </w:r>
            <w:r/>
          </w:p>
        </w:tc>
      </w:tr>
      <w:tr>
        <w:tblPrEx/>
        <w:trPr>
          <w:trHeight w:val="288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¤ - Требование для первого года эксплуатации.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</w:tr>
      <w:tr>
        <w:tblPrEx/>
        <w:trPr>
          <w:trHeight w:val="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Директор МАУК Музейный центр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bottom"/>
            <w:textDirection w:val="lrTb"/>
            <w:noWrap w:val="false"/>
          </w:tcPr>
          <w:p>
            <w:pPr>
              <w:jc w:val="right"/>
            </w:pPr>
            <w:r>
              <w:rPr>
                <w:rFonts w:ascii="Liberation Sans" w:hAnsi="Liberation Sans" w:eastAsia="Liberation Sans" w:cs="Liberation Sans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</w:tr>
      <w:tr>
        <w:tblPrEx/>
        <w:trPr>
          <w:trHeight w:val="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</w:tr>
      <w:tr>
        <w:tblPrEx/>
        <w:trPr>
          <w:trHeight w:val="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</w:tr>
      <w:tr>
        <w:tblPrEx/>
        <w:trPr>
          <w:trHeight w:val="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3" w:type="dxa"/>
            <w:vAlign w:val="bottom"/>
            <w:textDirection w:val="lrTb"/>
            <w:noWrap w:val="false"/>
          </w:tcPr>
          <w:p>
            <w:r>
              <w:rPr>
                <w:rFonts w:ascii="Liberation Sans" w:hAnsi="Liberation Sans" w:eastAsia="Liberation Sans" w:cs="Liberation Sans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________________ А.А. Умецкая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8" w:type="dxa"/>
            <w:vAlign w:val="bottom"/>
            <w:textDirection w:val="lrTb"/>
            <w:noWrap w:val="false"/>
          </w:tcPr>
          <w:p>
            <w:pPr>
              <w:jc w:val="right"/>
            </w:pPr>
            <w:r>
              <w:rPr>
                <w:rFonts w:ascii="Liberation Sans" w:hAnsi="Liberation Sans" w:eastAsia="Liberation Sans" w:cs="Liberation Sans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</w:tr>
    </w:tbl>
    <w:p>
      <w:pPr>
        <w:jc w:val="both"/>
        <w:tabs>
          <w:tab w:val="left" w:pos="0" w:leader="none"/>
          <w:tab w:val="clear" w:pos="708" w:leader="none"/>
        </w:tabs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pP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white"/>
        </w:rPr>
      </w:r>
    </w:p>
    <w:sectPr>
      <w:footerReference w:type="default" r:id="rId9"/>
      <w:footnotePr/>
      <w:endnotePr/>
      <w:type w:val="nextPage"/>
      <w:pgSz w:w="11906" w:h="16838" w:orient="portrait"/>
      <w:pgMar w:top="426" w:right="567" w:bottom="567" w:left="1134" w:header="0" w:footer="11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</w:font>
  <w:font w:name="Calibri">
    <w:panose1 w:val="020F0502020204030204"/>
  </w:font>
  <w:font w:name="Tahoma">
    <w:panose1 w:val="020B0604030504040204"/>
  </w:font>
  <w:font w:name="Symbol">
    <w:panose1 w:val="05010000000000000000"/>
  </w:font>
  <w:font w:name="Liberation Sans">
    <w:panose1 w:val="020B0604020202020204"/>
  </w:font>
  <w:font w:name="Wingdings">
    <w:panose1 w:val="05010000000000000000"/>
  </w:font>
  <w:font w:name="Times New Roman">
    <w:panose1 w:val="02020603050405020304"/>
  </w:font>
  <w:font w:name="Arial">
    <w:panose1 w:val="020B0604020202020204"/>
  </w:font>
  <w:font w:name="WenQuanYi Micro Hei">
    <w:panose1 w:val="020B0606030804020204"/>
  </w:font>
  <w:font w:name="Courier New">
    <w:panose1 w:val="02070309020205020404"/>
  </w:font>
  <w:font w:name="Lohit Devanagari">
    <w:panose1 w:val="020B0600000000000000"/>
  </w:font>
  <w:font w:name="Liberation Serif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2"/>
      <w:jc w:val="right"/>
    </w:pPr>
    <w:r>
      <w:fldChar w:fldCharType="begin"/>
    </w:r>
    <w:r>
      <w:instrText xml:space="preserve"> PAGE </w:instrText>
    </w:r>
    <w:r>
      <w:fldChar w:fldCharType="separate"/>
    </w:r>
    <w:r>
      <w:t xml:space="preserve">5</w:t>
    </w:r>
    <w:r>
      <w:fldChar w:fldCharType="end"/>
    </w:r>
    <w:r/>
  </w:p>
  <w:p>
    <w:pPr>
      <w:pStyle w:val="882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pStyle w:val="857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pStyle w:val="858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pStyle w:val="859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492" w:hanging="360"/>
        <w:tabs>
          <w:tab w:val="num" w:pos="3492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3537" w:hanging="405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3852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852" w:hanging="72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212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212" w:hanging="10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572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572" w:hanging="144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32" w:hanging="1800"/>
        <w:tabs>
          <w:tab w:val="num" w:pos="0" w:leader="none"/>
        </w:tabs>
      </w:pPr>
    </w:lvl>
  </w:abstractNum>
  <w:abstractNum w:abstractNumId="2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  <w:b w:val="0"/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rFonts w:cs="Times New Roman"/>
        <w:b w:val="0"/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cs="Times New Roman"/>
      </w:rPr>
    </w:lvl>
  </w:abstractNum>
  <w:abstractNum w:abstractNumId="4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rFonts w:cs="Times New Roman"/>
        <w:b w:val="0"/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cs="Times New Roman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Liberation Serif" w:hAnsi="Liberation Serif" w:eastAsia="WenQuanYi Micro Hei" w:cs="Lohit Devanagari"/>
        <w:sz w:val="24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5">
    <w:name w:val="Heading 1 Char"/>
    <w:link w:val="857"/>
    <w:uiPriority w:val="9"/>
    <w:rPr>
      <w:rFonts w:ascii="Arial" w:hAnsi="Arial" w:eastAsia="Arial" w:cs="Arial"/>
      <w:sz w:val="40"/>
      <w:szCs w:val="40"/>
    </w:rPr>
  </w:style>
  <w:style w:type="character" w:styleId="686">
    <w:name w:val="Heading 2 Char"/>
    <w:link w:val="858"/>
    <w:uiPriority w:val="9"/>
    <w:rPr>
      <w:rFonts w:ascii="Arial" w:hAnsi="Arial" w:eastAsia="Arial" w:cs="Arial"/>
      <w:sz w:val="34"/>
    </w:rPr>
  </w:style>
  <w:style w:type="character" w:styleId="687">
    <w:name w:val="Heading 3 Char"/>
    <w:link w:val="859"/>
    <w:uiPriority w:val="9"/>
    <w:rPr>
      <w:rFonts w:ascii="Arial" w:hAnsi="Arial" w:eastAsia="Arial" w:cs="Arial"/>
      <w:sz w:val="30"/>
      <w:szCs w:val="30"/>
    </w:rPr>
  </w:style>
  <w:style w:type="paragraph" w:styleId="688">
    <w:name w:val="Heading 4"/>
    <w:basedOn w:val="856"/>
    <w:next w:val="856"/>
    <w:link w:val="68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9">
    <w:name w:val="Heading 4 Char"/>
    <w:link w:val="688"/>
    <w:uiPriority w:val="9"/>
    <w:rPr>
      <w:rFonts w:ascii="Arial" w:hAnsi="Arial" w:eastAsia="Arial" w:cs="Arial"/>
      <w:b/>
      <w:bCs/>
      <w:sz w:val="26"/>
      <w:szCs w:val="26"/>
    </w:rPr>
  </w:style>
  <w:style w:type="paragraph" w:styleId="690">
    <w:name w:val="Heading 5"/>
    <w:basedOn w:val="856"/>
    <w:next w:val="856"/>
    <w:link w:val="69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1">
    <w:name w:val="Heading 5 Char"/>
    <w:link w:val="690"/>
    <w:uiPriority w:val="9"/>
    <w:rPr>
      <w:rFonts w:ascii="Arial" w:hAnsi="Arial" w:eastAsia="Arial" w:cs="Arial"/>
      <w:b/>
      <w:bCs/>
      <w:sz w:val="24"/>
      <w:szCs w:val="24"/>
    </w:rPr>
  </w:style>
  <w:style w:type="paragraph" w:styleId="692">
    <w:name w:val="Heading 6"/>
    <w:basedOn w:val="856"/>
    <w:next w:val="856"/>
    <w:link w:val="69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3">
    <w:name w:val="Heading 6 Char"/>
    <w:link w:val="692"/>
    <w:uiPriority w:val="9"/>
    <w:rPr>
      <w:rFonts w:ascii="Arial" w:hAnsi="Arial" w:eastAsia="Arial" w:cs="Arial"/>
      <w:b/>
      <w:bCs/>
      <w:sz w:val="22"/>
      <w:szCs w:val="22"/>
    </w:rPr>
  </w:style>
  <w:style w:type="paragraph" w:styleId="694">
    <w:name w:val="Heading 7"/>
    <w:basedOn w:val="856"/>
    <w:next w:val="856"/>
    <w:link w:val="69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5">
    <w:name w:val="Heading 7 Char"/>
    <w:link w:val="69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6">
    <w:name w:val="Heading 8"/>
    <w:basedOn w:val="856"/>
    <w:next w:val="856"/>
    <w:link w:val="69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7">
    <w:name w:val="Heading 8 Char"/>
    <w:link w:val="696"/>
    <w:uiPriority w:val="9"/>
    <w:rPr>
      <w:rFonts w:ascii="Arial" w:hAnsi="Arial" w:eastAsia="Arial" w:cs="Arial"/>
      <w:i/>
      <w:iCs/>
      <w:sz w:val="22"/>
      <w:szCs w:val="22"/>
    </w:rPr>
  </w:style>
  <w:style w:type="paragraph" w:styleId="698">
    <w:name w:val="Heading 9"/>
    <w:basedOn w:val="856"/>
    <w:next w:val="856"/>
    <w:link w:val="69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9">
    <w:name w:val="Heading 9 Char"/>
    <w:link w:val="698"/>
    <w:uiPriority w:val="9"/>
    <w:rPr>
      <w:rFonts w:ascii="Arial" w:hAnsi="Arial" w:eastAsia="Arial" w:cs="Arial"/>
      <w:i/>
      <w:iCs/>
      <w:sz w:val="21"/>
      <w:szCs w:val="21"/>
    </w:rPr>
  </w:style>
  <w:style w:type="paragraph" w:styleId="700">
    <w:name w:val="List Paragraph"/>
    <w:basedOn w:val="856"/>
    <w:uiPriority w:val="34"/>
    <w:qFormat/>
    <w:pPr>
      <w:contextualSpacing/>
      <w:ind w:left="720"/>
    </w:pPr>
  </w:style>
  <w:style w:type="paragraph" w:styleId="701">
    <w:name w:val="No Spacing"/>
    <w:uiPriority w:val="1"/>
    <w:qFormat/>
    <w:pPr>
      <w:spacing w:before="0" w:after="0" w:line="240" w:lineRule="auto"/>
    </w:pPr>
  </w:style>
  <w:style w:type="paragraph" w:styleId="702">
    <w:name w:val="Title"/>
    <w:basedOn w:val="856"/>
    <w:next w:val="856"/>
    <w:link w:val="70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3">
    <w:name w:val="Title Char"/>
    <w:link w:val="702"/>
    <w:uiPriority w:val="10"/>
    <w:rPr>
      <w:sz w:val="48"/>
      <w:szCs w:val="48"/>
    </w:rPr>
  </w:style>
  <w:style w:type="paragraph" w:styleId="704">
    <w:name w:val="Subtitle"/>
    <w:basedOn w:val="856"/>
    <w:next w:val="856"/>
    <w:link w:val="705"/>
    <w:uiPriority w:val="11"/>
    <w:qFormat/>
    <w:pPr>
      <w:spacing w:before="200" w:after="200"/>
    </w:pPr>
    <w:rPr>
      <w:sz w:val="24"/>
      <w:szCs w:val="24"/>
    </w:rPr>
  </w:style>
  <w:style w:type="character" w:styleId="705">
    <w:name w:val="Subtitle Char"/>
    <w:link w:val="704"/>
    <w:uiPriority w:val="11"/>
    <w:rPr>
      <w:sz w:val="24"/>
      <w:szCs w:val="24"/>
    </w:rPr>
  </w:style>
  <w:style w:type="paragraph" w:styleId="706">
    <w:name w:val="Quote"/>
    <w:basedOn w:val="856"/>
    <w:next w:val="856"/>
    <w:link w:val="707"/>
    <w:uiPriority w:val="29"/>
    <w:qFormat/>
    <w:pPr>
      <w:ind w:left="720" w:right="720"/>
    </w:pPr>
    <w:rPr>
      <w:i/>
    </w:rPr>
  </w:style>
  <w:style w:type="character" w:styleId="707">
    <w:name w:val="Quote Char"/>
    <w:link w:val="706"/>
    <w:uiPriority w:val="29"/>
    <w:rPr>
      <w:i/>
    </w:rPr>
  </w:style>
  <w:style w:type="paragraph" w:styleId="708">
    <w:name w:val="Intense Quote"/>
    <w:basedOn w:val="856"/>
    <w:next w:val="856"/>
    <w:link w:val="70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9">
    <w:name w:val="Intense Quote Char"/>
    <w:link w:val="708"/>
    <w:uiPriority w:val="30"/>
    <w:rPr>
      <w:i/>
    </w:rPr>
  </w:style>
  <w:style w:type="character" w:styleId="710">
    <w:name w:val="Header Char"/>
    <w:link w:val="880"/>
    <w:uiPriority w:val="99"/>
  </w:style>
  <w:style w:type="character" w:styleId="711">
    <w:name w:val="Footer Char"/>
    <w:link w:val="882"/>
    <w:uiPriority w:val="99"/>
  </w:style>
  <w:style w:type="character" w:styleId="712">
    <w:name w:val="Caption Char"/>
    <w:link w:val="877"/>
    <w:uiPriority w:val="35"/>
    <w:rPr>
      <w:b/>
      <w:bCs/>
      <w:color w:val="4f81bd" w:themeColor="accent1"/>
      <w:sz w:val="18"/>
      <w:szCs w:val="18"/>
    </w:rPr>
  </w:style>
  <w:style w:type="table" w:styleId="713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4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5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6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7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8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0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2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c5fdbc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c5fdbc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1ebe03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3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36b8fb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4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43c03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5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dc33fa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6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7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8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9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3fdba" w:themeFill="accent1" w:themeFillTint="34"/>
    </w:tblPr>
    <w:tblStylePr w:type="band1Horz">
      <w:tcPr>
        <w:shd w:val="clear" w:color="ffffff" w:themeColor="accent1" w:themeTint="75" w:fill="79fb64" w:themeFill="accent1" w:themeFillTint="75"/>
      </w:tcPr>
    </w:tblStylePr>
    <w:tblStylePr w:type="band1Vert">
      <w:tcPr>
        <w:shd w:val="clear" w:color="ffffff" w:themeColor="accent1" w:themeTint="75" w:fill="79fb6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bce7fd" w:themeFill="accent2" w:themeFillTint="32"/>
    </w:tblPr>
    <w:tblStylePr w:type="band1Horz">
      <w:tcPr>
        <w:shd w:val="clear" w:color="ffffff" w:themeColor="accent2" w:themeTint="75" w:fill="64c8fb" w:themeFill="accent2" w:themeFillTint="75"/>
      </w:tcPr>
    </w:tblStylePr>
    <w:tblStylePr w:type="band1Vert">
      <w:tcPr>
        <w:shd w:val="clear" w:color="ffffff" w:themeColor="accent2" w:themeTint="75" w:fill="64c8fb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0369a3" w:themeFill="accent2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fdd2ba" w:themeFill="accent3" w:themeFillTint="34"/>
    </w:tblPr>
    <w:tblStylePr w:type="band1Horz">
      <w:tcPr>
        <w:shd w:val="clear" w:color="ffffff" w:themeColor="accent3" w:themeTint="75" w:fill="fb9964" w:themeFill="accent3" w:themeFillTint="75"/>
      </w:tcPr>
    </w:tblStylePr>
    <w:tblStylePr w:type="band1Vert">
      <w:tcPr>
        <w:shd w:val="clear" w:color="ffffff" w:themeColor="accent3" w:themeTint="75" w:fill="fb9964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33e03" w:themeFill="accent3"/>
        <w:tcBorders>
          <w:top w:val="single" w:color="000000" w:themeColor="light1" w:sz="4" w:space="0"/>
        </w:tcBorders>
      </w:tcPr>
    </w:tblStylePr>
  </w:style>
  <w:style w:type="table" w:styleId="752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3bafd" w:themeFill="accent4" w:themeFillTint="34"/>
    </w:tblPr>
    <w:tblStylePr w:type="band1Horz">
      <w:tcPr>
        <w:shd w:val="clear" w:color="ffffff" w:themeColor="accent4" w:themeTint="75" w:fill="e464fb" w:themeFill="accent4" w:themeFillTint="75"/>
      </w:tcPr>
    </w:tblStylePr>
    <w:tblStylePr w:type="band1Vert">
      <w:tcPr>
        <w:shd w:val="clear" w:color="ffffff" w:themeColor="accent4" w:themeTint="75" w:fill="e464fb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e03a3" w:themeFill="accent4"/>
        <w:tcBorders>
          <w:top w:val="single" w:color="000000" w:themeColor="light1" w:sz="4" w:space="0"/>
        </w:tcBorders>
      </w:tcPr>
    </w:tblStylePr>
  </w:style>
  <w:style w:type="table" w:styleId="753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fefbf" w:themeFill="accent5" w:themeFillTint="34"/>
    </w:tblPr>
    <w:tblStylePr w:type="band1Horz">
      <w:tcPr>
        <w:shd w:val="clear" w:color="ffffff" w:themeColor="accent5" w:themeTint="75" w:fill="ffdb71" w:themeFill="accent5" w:themeFillTint="75"/>
      </w:tcPr>
    </w:tblStylePr>
    <w:tblStylePr w:type="band1Vert">
      <w:tcPr>
        <w:shd w:val="clear" w:color="ffffff" w:themeColor="accent5" w:themeTint="75" w:fill="ffdb71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7cccc" w:themeFill="accent6" w:themeFillTint="34"/>
    </w:tblPr>
    <w:tblStylePr w:type="band1Horz">
      <w:tcPr>
        <w:shd w:val="clear" w:color="ffffff" w:themeColor="accent6" w:themeTint="75" w:fill="ee8f8f" w:themeFill="accent6" w:themeFillTint="75"/>
      </w:tcPr>
    </w:tblStylePr>
    <w:tblStylePr w:type="band1Vert">
      <w:tcPr>
        <w:shd w:val="clear" w:color="ffffff" w:themeColor="accent6" w:themeTint="75" w:fill="ee8f8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  <w:tcBorders>
          <w:top w:val="single" w:color="000000" w:themeColor="light1" w:sz="4" w:space="0"/>
        </w:tcBorders>
      </w:tcPr>
    </w:tblStylePr>
  </w:style>
  <w:style w:type="table" w:styleId="755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6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tcPr>
        <w:shd w:val="clear" w:color="ffffff" w:themeColor="accent1" w:themeTint="34" w:fill="c3fdba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1ebf04" w:themeColor="accent1" w:themeTint="80" w:themeShade="95"/>
      </w:rPr>
    </w:tblStylePr>
    <w:tblStylePr w:type="firstRow">
      <w:rPr>
        <w:b/>
        <w:color w:val="1ebf04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ebf04" w:themeColor="accent1" w:themeTint="80" w:themeShade="95"/>
      </w:rPr>
    </w:tblStylePr>
    <w:tblStylePr w:type="lastRow">
      <w:rPr>
        <w:b/>
        <w:color w:val="1ebf04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7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tcPr>
        <w:shd w:val="clear" w:color="ffffff" w:themeColor="accent2" w:themeTint="32" w:fill="bce7fd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0378ae" w:themeColor="accent2" w:themeTint="97" w:themeShade="95"/>
      </w:rPr>
    </w:tblStylePr>
    <w:tblStylePr w:type="firstRow">
      <w:rPr>
        <w:b/>
        <w:color w:val="0378ae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0378ae" w:themeColor="accent2" w:themeTint="97" w:themeShade="95"/>
      </w:rPr>
    </w:tblStylePr>
    <w:tblStylePr w:type="lastRow">
      <w:rPr>
        <w:b/>
        <w:color w:val="0378ae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8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tcPr>
        <w:shd w:val="clear" w:color="ffffff" w:themeColor="accent3" w:themeTint="34" w:fill="fdd2ba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e2201" w:themeColor="accent3" w:themeTint="FE" w:themeShade="95"/>
      </w:rPr>
    </w:tblStylePr>
    <w:tblStylePr w:type="firstRow">
      <w:rPr>
        <w:b/>
        <w:color w:val="5e2201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e2201" w:themeColor="accent3" w:themeTint="FE" w:themeShade="95"/>
      </w:rPr>
    </w:tblStylePr>
    <w:tblStylePr w:type="lastRow">
      <w:rPr>
        <w:b/>
        <w:color w:val="5e2201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9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tcPr>
        <w:shd w:val="clear" w:color="ffffff" w:themeColor="accent4" w:themeTint="34" w:fill="f3bafd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9104ab" w:themeColor="accent4" w:themeTint="9A" w:themeShade="95"/>
      </w:rPr>
    </w:tblStylePr>
    <w:tblStylePr w:type="firstRow">
      <w:rPr>
        <w:b/>
        <w:color w:val="9104ab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9104ab" w:themeColor="accent4" w:themeTint="9A" w:themeShade="95"/>
      </w:rPr>
    </w:tblStylePr>
    <w:tblStylePr w:type="lastRow">
      <w:rPr>
        <w:b/>
        <w:color w:val="9104ab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0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tcPr>
        <w:shd w:val="clear" w:color="ffffff" w:themeColor="accent5" w:themeTint="34" w:fill="ffefb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745700" w:themeColor="accent5" w:themeShade="95"/>
      </w:rPr>
    </w:tblStylePr>
    <w:tblStylePr w:type="firstRow">
      <w:rPr>
        <w:b/>
        <w:color w:val="745700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745700" w:themeColor="accent5" w:themeShade="95"/>
      </w:rPr>
    </w:tblStylePr>
    <w:tblStylePr w:type="lastRow">
      <w:rPr>
        <w:b/>
        <w:color w:val="745700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1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tcPr>
        <w:shd w:val="clear" w:color="ffffff" w:themeColor="accent6" w:themeTint="34" w:fill="f7cccc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745700" w:themeColor="accent5" w:themeShade="95"/>
      </w:rPr>
    </w:tblStylePr>
    <w:tblStylePr w:type="firstRow">
      <w:rPr>
        <w:b/>
        <w:color w:val="745700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745700" w:themeColor="accent5" w:themeShade="95"/>
      </w:rPr>
    </w:tblStylePr>
    <w:tblStylePr w:type="lastRow">
      <w:rPr>
        <w:b/>
        <w:color w:val="745700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2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1ebf04" w:themeColor="accent1" w:themeTint="80" w:themeShade="95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tcPr>
        <w:shd w:val="clear" w:color="ffffff" w:themeColor="accent1" w:themeTint="34" w:fill="c3fdba" w:themeFill="accent1" w:themeFillTint="34"/>
      </w:tcPr>
    </w:tblStylePr>
    <w:tblStylePr w:type="band2Horz">
      <w:rPr>
        <w:rFonts w:ascii="Arial" w:hAnsi="Arial"/>
        <w:color w:val="1ebf04" w:themeColor="accent1" w:themeTint="80" w:themeShade="95"/>
        <w:sz w:val="22"/>
      </w:rPr>
    </w:tblStylePr>
    <w:tblStylePr w:type="firstCol">
      <w:rPr>
        <w:rFonts w:ascii="Arial" w:hAnsi="Arial"/>
        <w:i/>
        <w:color w:val="1ebf04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ebf04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ebf04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1ebf04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0378ae" w:themeColor="accent2" w:themeTint="97" w:themeShade="95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tcPr>
        <w:shd w:val="clear" w:color="ffffff" w:themeColor="accent2" w:themeTint="32" w:fill="bce7fd" w:themeFill="accent2" w:themeFillTint="32"/>
      </w:tcPr>
    </w:tblStylePr>
    <w:tblStylePr w:type="band2Horz">
      <w:rPr>
        <w:rFonts w:ascii="Arial" w:hAnsi="Arial"/>
        <w:color w:val="0378ae" w:themeColor="accent2" w:themeTint="97" w:themeShade="95"/>
        <w:sz w:val="22"/>
      </w:rPr>
    </w:tblStylePr>
    <w:tblStylePr w:type="firstCol">
      <w:rPr>
        <w:rFonts w:ascii="Arial" w:hAnsi="Arial"/>
        <w:i/>
        <w:color w:val="0378ae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378ae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e2201" w:themeColor="accent3" w:themeTint="FE" w:themeShade="95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tcPr>
        <w:shd w:val="clear" w:color="ffffff" w:themeColor="accent3" w:themeTint="34" w:fill="fdd2ba" w:themeFill="accent3" w:themeFillTint="34"/>
      </w:tcPr>
    </w:tblStylePr>
    <w:tblStylePr w:type="band2Horz">
      <w:rPr>
        <w:rFonts w:ascii="Arial" w:hAnsi="Arial"/>
        <w:color w:val="5e2201" w:themeColor="accent3" w:themeTint="FE" w:themeShade="95"/>
        <w:sz w:val="22"/>
      </w:rPr>
    </w:tblStylePr>
    <w:tblStylePr w:type="firstCol">
      <w:rPr>
        <w:rFonts w:ascii="Arial" w:hAnsi="Arial"/>
        <w:i/>
        <w:color w:val="5e2201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e2201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2201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e2201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9104ab" w:themeColor="accent4" w:themeTint="9A" w:themeShade="95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tcPr>
        <w:shd w:val="clear" w:color="ffffff" w:themeColor="accent4" w:themeTint="34" w:fill="f3bafd" w:themeFill="accent4" w:themeFillTint="34"/>
      </w:tcPr>
    </w:tblStylePr>
    <w:tblStylePr w:type="band2Horz">
      <w:rPr>
        <w:rFonts w:ascii="Arial" w:hAnsi="Arial"/>
        <w:color w:val="9104ab" w:themeColor="accent4" w:themeTint="9A" w:themeShade="95"/>
        <w:sz w:val="22"/>
      </w:rPr>
    </w:tblStylePr>
    <w:tblStylePr w:type="firstCol">
      <w:rPr>
        <w:rFonts w:ascii="Arial" w:hAnsi="Arial"/>
        <w:i/>
        <w:color w:val="9104ab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104ab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745700" w:themeColor="accent5" w:themeShade="95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tcPr>
        <w:shd w:val="clear" w:color="ffffff" w:themeColor="accent5" w:themeTint="34" w:fill="ffefbf" w:themeFill="accent5" w:themeFillTint="34"/>
      </w:tcPr>
    </w:tblStylePr>
    <w:tblStylePr w:type="band2Horz">
      <w:rPr>
        <w:rFonts w:ascii="Arial" w:hAnsi="Arial"/>
        <w:color w:val="745700" w:themeColor="accent5" w:themeShade="95"/>
        <w:sz w:val="22"/>
      </w:rPr>
    </w:tblStylePr>
    <w:tblStylePr w:type="firstCol">
      <w:rPr>
        <w:rFonts w:ascii="Arial" w:hAnsi="Arial"/>
        <w:i/>
        <w:color w:val="745700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745700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45700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45700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741111" w:themeColor="accent6" w:themeShade="95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tcPr>
        <w:shd w:val="clear" w:color="ffffff" w:themeColor="accent6" w:themeTint="34" w:fill="f7cccc" w:themeFill="accent6" w:themeFillTint="34"/>
      </w:tcPr>
    </w:tblStylePr>
    <w:tblStylePr w:type="band2Horz">
      <w:rPr>
        <w:rFonts w:ascii="Arial" w:hAnsi="Arial"/>
        <w:color w:val="741111" w:themeColor="accent6" w:themeShade="95"/>
        <w:sz w:val="22"/>
      </w:rPr>
    </w:tblStylePr>
    <w:tblStylePr w:type="firstCol">
      <w:rPr>
        <w:rFonts w:ascii="Arial" w:hAnsi="Arial"/>
        <w:i/>
        <w:color w:val="741111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741111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41111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41111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b6fdaa" w:themeFill="accent1" w:themeFillTint="40"/>
      </w:tcPr>
    </w:tblStylePr>
    <w:tblStylePr w:type="band1Vert">
      <w:tcPr>
        <w:shd w:val="clear" w:color="ffffff" w:themeColor="accent1" w:themeTint="40" w:fill="b6fdaa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aae1fd" w:themeFill="accent2" w:themeFillTint="40"/>
      </w:tcPr>
    </w:tblStylePr>
    <w:tblStylePr w:type="band1Vert">
      <w:tcPr>
        <w:shd w:val="clear" w:color="ffffff" w:themeColor="accent2" w:themeTint="40" w:fill="aae1fd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fdc7aa" w:themeFill="accent3" w:themeFillTint="40"/>
      </w:tcPr>
    </w:tblStylePr>
    <w:tblStylePr w:type="band1Vert">
      <w:tcPr>
        <w:shd w:val="clear" w:color="ffffff" w:themeColor="accent3" w:themeTint="40" w:fill="fdc7aa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0aafd" w:themeFill="accent4" w:themeFillTint="40"/>
      </w:tcPr>
    </w:tblStylePr>
    <w:tblStylePr w:type="band1Vert">
      <w:tcPr>
        <w:shd w:val="clear" w:color="ffffff" w:themeColor="accent4" w:themeTint="40" w:fill="f0aafd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ffebb1" w:themeFill="accent5" w:themeFillTint="40"/>
      </w:tcPr>
    </w:tblStylePr>
    <w:tblStylePr w:type="band1Vert">
      <w:tcPr>
        <w:shd w:val="clear" w:color="ffffff" w:themeColor="accent5" w:themeTint="40" w:fill="ffebb1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5c2c2" w:themeFill="accent6" w:themeFillTint="40"/>
      </w:tcPr>
    </w:tblStylePr>
    <w:tblStylePr w:type="band1Vert">
      <w:tcPr>
        <w:shd w:val="clear" w:color="ffffff" w:themeColor="accent6" w:themeTint="40" w:fill="f5c2c2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7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8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9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0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1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2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3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36b8fb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fa7a35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dc33fa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ffd042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e96e6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8a303" w:themeFill="accent1"/>
    </w:tblPr>
    <w:tblStylePr w:type="band1Horz">
      <w:tcPr>
        <w:shd w:val="clear" w:color="ffffff" w:themeColor="accent1" w:fill="18a303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18a303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18a303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18a303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36b8fb" w:themeFill="accent2" w:themeFillTint="97"/>
    </w:tblPr>
    <w:tblStylePr w:type="band1Horz">
      <w:tcPr>
        <w:shd w:val="clear" w:color="ffffff" w:themeColor="accent2" w:themeTint="97" w:fill="36b8fb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36b8fb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36b8fb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36b8fb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fa7a35" w:themeFill="accent3" w:themeFillTint="98"/>
    </w:tblPr>
    <w:tblStylePr w:type="band1Horz">
      <w:tcPr>
        <w:shd w:val="clear" w:color="ffffff" w:themeColor="accent3" w:themeTint="98" w:fill="fa7a35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fa7a35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fa7a35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fa7a35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dc33fa" w:themeFill="accent4" w:themeFillTint="9A"/>
    </w:tblPr>
    <w:tblStylePr w:type="band1Horz">
      <w:tcPr>
        <w:shd w:val="clear" w:color="ffffff" w:themeColor="accent4" w:themeTint="9A" w:fill="dc33fa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dc33fa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dc33fa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dc33fa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ffd042" w:themeFill="accent5" w:themeFillTint="9A"/>
    </w:tblPr>
    <w:tblStylePr w:type="band1Horz">
      <w:tcPr>
        <w:shd w:val="clear" w:color="ffffff" w:themeColor="accent5" w:themeTint="9A" w:fill="ffd042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ffd042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ffd042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ffd042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e96e6e" w:themeFill="accent6" w:themeFillTint="98"/>
    </w:tblPr>
    <w:tblStylePr w:type="band1Horz">
      <w:tcPr>
        <w:shd w:val="clear" w:color="ffffff" w:themeColor="accent6" w:themeTint="98" w:fill="e96e6e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e96e6e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e96e6e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e96e6e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5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tcPr>
        <w:shd w:val="clear" w:color="ffffff" w:themeColor="accent1" w:themeTint="40" w:fill="b6fdaa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0e5e01" w:themeColor="accent1" w:themeShade="95"/>
      </w:rPr>
    </w:tblStylePr>
    <w:tblStylePr w:type="firstRow">
      <w:rPr>
        <w:b/>
        <w:color w:val="0e5e0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e5e01" w:themeColor="accent1" w:themeShade="95"/>
      </w:rPr>
    </w:tblStylePr>
    <w:tblStylePr w:type="lastRow">
      <w:rPr>
        <w:b/>
        <w:color w:val="0e5e0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6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tcPr>
        <w:shd w:val="clear" w:color="ffffff" w:themeColor="accent2" w:themeTint="40" w:fill="aae1fd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0378ae" w:themeColor="accent2" w:themeTint="97" w:themeShade="95"/>
      </w:rPr>
    </w:tblStylePr>
    <w:tblStylePr w:type="firstRow">
      <w:rPr>
        <w:b/>
        <w:color w:val="0378ae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0378ae" w:themeColor="accent2" w:themeTint="97" w:themeShade="95"/>
      </w:rPr>
    </w:tblStylePr>
    <w:tblStylePr w:type="lastRow">
      <w:rPr>
        <w:b/>
        <w:color w:val="0378ae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7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tcPr>
        <w:shd w:val="clear" w:color="ffffff" w:themeColor="accent3" w:themeTint="40" w:fill="fdc7aa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ab3b04" w:themeColor="accent3" w:themeTint="98" w:themeShade="95"/>
      </w:rPr>
    </w:tblStylePr>
    <w:tblStylePr w:type="firstRow">
      <w:rPr>
        <w:b/>
        <w:color w:val="ab3b04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ab3b04" w:themeColor="accent3" w:themeTint="98" w:themeShade="95"/>
      </w:rPr>
    </w:tblStylePr>
    <w:tblStylePr w:type="lastRow">
      <w:rPr>
        <w:b/>
        <w:color w:val="ab3b04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8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tcPr>
        <w:shd w:val="clear" w:color="ffffff" w:themeColor="accent4" w:themeTint="40" w:fill="f0aafd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9104ab" w:themeColor="accent4" w:themeTint="9A" w:themeShade="95"/>
      </w:rPr>
    </w:tblStylePr>
    <w:tblStylePr w:type="firstRow">
      <w:rPr>
        <w:b/>
        <w:color w:val="9104ab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9104ab" w:themeColor="accent4" w:themeTint="9A" w:themeShade="95"/>
      </w:rPr>
    </w:tblStylePr>
    <w:tblStylePr w:type="lastRow">
      <w:rPr>
        <w:b/>
        <w:color w:val="9104ab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9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tcPr>
        <w:shd w:val="clear" w:color="ffffff" w:themeColor="accent5" w:themeTint="40" w:fill="ffebb1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ba8700" w:themeColor="accent5" w:themeTint="9A" w:themeShade="95"/>
      </w:rPr>
    </w:tblStylePr>
    <w:tblStylePr w:type="firstRow">
      <w:rPr>
        <w:b/>
        <w:color w:val="ba870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ba8700" w:themeColor="accent5" w:themeTint="9A" w:themeShade="95"/>
      </w:rPr>
    </w:tblStylePr>
    <w:tblStylePr w:type="lastRow">
      <w:rPr>
        <w:b/>
        <w:color w:val="ba870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0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tcPr>
        <w:shd w:val="clear" w:color="ffffff" w:themeColor="accent6" w:themeTint="40" w:fill="f5c2c2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ad1a1a" w:themeColor="accent6" w:themeTint="98" w:themeShade="95"/>
      </w:rPr>
    </w:tblStylePr>
    <w:tblStylePr w:type="firstRow">
      <w:rPr>
        <w:b/>
        <w:color w:val="ad1a1a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ad1a1a" w:themeColor="accent6" w:themeTint="98" w:themeShade="95"/>
      </w:rPr>
    </w:tblStylePr>
    <w:tblStylePr w:type="lastRow">
      <w:rPr>
        <w:b/>
        <w:color w:val="ad1a1a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1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2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0e5e01" w:themeColor="accent1" w:themeShade="95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tcPr>
        <w:shd w:val="clear" w:color="ffffff" w:themeColor="accent1" w:themeTint="40" w:fill="b6fdaa" w:themeFill="accent1" w:themeFillTint="40"/>
      </w:tcPr>
    </w:tblStylePr>
    <w:tblStylePr w:type="band2Horz">
      <w:rPr>
        <w:rFonts w:ascii="Arial" w:hAnsi="Arial"/>
        <w:color w:val="0e5e01" w:themeColor="accent1" w:themeShade="95"/>
        <w:sz w:val="22"/>
      </w:rPr>
    </w:tblStylePr>
    <w:tblStylePr w:type="firstCol">
      <w:rPr>
        <w:rFonts w:ascii="Arial" w:hAnsi="Arial"/>
        <w:i/>
        <w:color w:val="0e5e0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e5e0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e5e0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e5e0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0e5e01" w:themeColor="accent1" w:themeShade="95"/>
        <w:sz w:val="22"/>
      </w:rPr>
    </w:tblStylePr>
  </w:style>
  <w:style w:type="table" w:styleId="813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0378ae" w:themeColor="accent2" w:themeTint="97" w:themeShade="95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tcPr>
        <w:shd w:val="clear" w:color="ffffff" w:themeColor="accent2" w:themeTint="40" w:fill="aae1fd" w:themeFill="accent2" w:themeFillTint="40"/>
      </w:tcPr>
    </w:tblStylePr>
    <w:tblStylePr w:type="band2Horz">
      <w:rPr>
        <w:rFonts w:ascii="Arial" w:hAnsi="Arial"/>
        <w:color w:val="0378ae" w:themeColor="accent2" w:themeTint="97" w:themeShade="95"/>
        <w:sz w:val="22"/>
      </w:rPr>
    </w:tblStylePr>
    <w:tblStylePr w:type="firstCol">
      <w:rPr>
        <w:rFonts w:ascii="Arial" w:hAnsi="Arial"/>
        <w:i/>
        <w:color w:val="0378ae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378ae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0378ae" w:themeColor="accent2" w:themeTint="97" w:themeShade="95"/>
        <w:sz w:val="22"/>
      </w:rPr>
    </w:tblStylePr>
  </w:style>
  <w:style w:type="table" w:styleId="814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ab3b04" w:themeColor="accent3" w:themeTint="98" w:themeShade="95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tcPr>
        <w:shd w:val="clear" w:color="ffffff" w:themeColor="accent3" w:themeTint="40" w:fill="fdc7aa" w:themeFill="accent3" w:themeFillTint="40"/>
      </w:tcPr>
    </w:tblStylePr>
    <w:tblStylePr w:type="band2Horz">
      <w:rPr>
        <w:rFonts w:ascii="Arial" w:hAnsi="Arial"/>
        <w:color w:val="ab3b04" w:themeColor="accent3" w:themeTint="98" w:themeShade="95"/>
        <w:sz w:val="22"/>
      </w:rPr>
    </w:tblStylePr>
    <w:tblStylePr w:type="firstCol">
      <w:rPr>
        <w:rFonts w:ascii="Arial" w:hAnsi="Arial"/>
        <w:i/>
        <w:color w:val="ab3b04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ab3b04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b3b04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b3b04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ab3b04" w:themeColor="accent3" w:themeTint="98" w:themeShade="95"/>
        <w:sz w:val="22"/>
      </w:rPr>
    </w:tblStylePr>
  </w:style>
  <w:style w:type="table" w:styleId="815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9104ab" w:themeColor="accent4" w:themeTint="9A" w:themeShade="95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tcPr>
        <w:shd w:val="clear" w:color="ffffff" w:themeColor="accent4" w:themeTint="40" w:fill="f0aafd" w:themeFill="accent4" w:themeFillTint="40"/>
      </w:tcPr>
    </w:tblStylePr>
    <w:tblStylePr w:type="band2Horz">
      <w:rPr>
        <w:rFonts w:ascii="Arial" w:hAnsi="Arial"/>
        <w:color w:val="9104ab" w:themeColor="accent4" w:themeTint="9A" w:themeShade="95"/>
        <w:sz w:val="22"/>
      </w:rPr>
    </w:tblStylePr>
    <w:tblStylePr w:type="firstCol">
      <w:rPr>
        <w:rFonts w:ascii="Arial" w:hAnsi="Arial"/>
        <w:i/>
        <w:color w:val="9104ab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104ab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104ab" w:themeColor="accent4" w:themeTint="9A" w:themeShade="95"/>
        <w:sz w:val="22"/>
      </w:rPr>
    </w:tblStylePr>
  </w:style>
  <w:style w:type="table" w:styleId="816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ba8700" w:themeColor="accent5" w:themeTint="9A" w:themeShade="95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tcPr>
        <w:shd w:val="clear" w:color="ffffff" w:themeColor="accent5" w:themeTint="40" w:fill="ffebb1" w:themeFill="accent5" w:themeFillTint="40"/>
      </w:tcPr>
    </w:tblStylePr>
    <w:tblStylePr w:type="band2Horz">
      <w:rPr>
        <w:rFonts w:ascii="Arial" w:hAnsi="Arial"/>
        <w:color w:val="ba8700" w:themeColor="accent5" w:themeTint="9A" w:themeShade="95"/>
        <w:sz w:val="22"/>
      </w:rPr>
    </w:tblStylePr>
    <w:tblStylePr w:type="firstCol">
      <w:rPr>
        <w:rFonts w:ascii="Arial" w:hAnsi="Arial"/>
        <w:i/>
        <w:color w:val="ba870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ba870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a870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a870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ba8700" w:themeColor="accent5" w:themeTint="9A" w:themeShade="95"/>
        <w:sz w:val="22"/>
      </w:rPr>
    </w:tblStylePr>
  </w:style>
  <w:style w:type="table" w:styleId="817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ad1a1a" w:themeColor="accent6" w:themeTint="98" w:themeShade="95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tcPr>
        <w:shd w:val="clear" w:color="ffffff" w:themeColor="accent6" w:themeTint="40" w:fill="f5c2c2" w:themeFill="accent6" w:themeFillTint="40"/>
      </w:tcPr>
    </w:tblStylePr>
    <w:tblStylePr w:type="band2Horz">
      <w:rPr>
        <w:rFonts w:ascii="Arial" w:hAnsi="Arial"/>
        <w:color w:val="ad1a1a" w:themeColor="accent6" w:themeTint="98" w:themeShade="95"/>
        <w:sz w:val="22"/>
      </w:rPr>
    </w:tblStylePr>
    <w:tblStylePr w:type="firstCol">
      <w:rPr>
        <w:rFonts w:ascii="Arial" w:hAnsi="Arial"/>
        <w:i/>
        <w:color w:val="ad1a1a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ad1a1a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d1a1a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d1a1a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ad1a1a" w:themeColor="accent6" w:themeTint="98" w:themeShade="95"/>
        <w:sz w:val="22"/>
      </w:rPr>
    </w:tblStylePr>
  </w:style>
  <w:style w:type="table" w:styleId="818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9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</w:style>
  <w:style w:type="table" w:styleId="820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</w:style>
  <w:style w:type="table" w:styleId="821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</w:style>
  <w:style w:type="table" w:styleId="822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</w:style>
  <w:style w:type="table" w:styleId="823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</w:style>
  <w:style w:type="table" w:styleId="824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</w:style>
  <w:style w:type="table" w:styleId="825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6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</w:style>
  <w:style w:type="table" w:styleId="827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</w:style>
  <w:style w:type="table" w:styleId="828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</w:style>
  <w:style w:type="table" w:styleId="829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</w:style>
  <w:style w:type="table" w:styleId="830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</w:style>
  <w:style w:type="table" w:styleId="831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</w:style>
  <w:style w:type="table" w:styleId="832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3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4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5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6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7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8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9">
    <w:name w:val="footnote text"/>
    <w:basedOn w:val="856"/>
    <w:link w:val="840"/>
    <w:uiPriority w:val="99"/>
    <w:semiHidden/>
    <w:unhideWhenUsed/>
    <w:pPr>
      <w:spacing w:after="40" w:line="240" w:lineRule="auto"/>
    </w:pPr>
    <w:rPr>
      <w:sz w:val="18"/>
    </w:rPr>
  </w:style>
  <w:style w:type="character" w:styleId="840">
    <w:name w:val="Footnote Text Char"/>
    <w:link w:val="839"/>
    <w:uiPriority w:val="99"/>
    <w:rPr>
      <w:sz w:val="18"/>
    </w:rPr>
  </w:style>
  <w:style w:type="character" w:styleId="841">
    <w:name w:val="footnote reference"/>
    <w:uiPriority w:val="99"/>
    <w:unhideWhenUsed/>
    <w:rPr>
      <w:vertAlign w:val="superscript"/>
    </w:rPr>
  </w:style>
  <w:style w:type="paragraph" w:styleId="842">
    <w:name w:val="endnote text"/>
    <w:basedOn w:val="856"/>
    <w:link w:val="843"/>
    <w:uiPriority w:val="99"/>
    <w:semiHidden/>
    <w:unhideWhenUsed/>
    <w:pPr>
      <w:spacing w:after="0" w:line="240" w:lineRule="auto"/>
    </w:pPr>
    <w:rPr>
      <w:sz w:val="20"/>
    </w:rPr>
  </w:style>
  <w:style w:type="character" w:styleId="843">
    <w:name w:val="Endnote Text Char"/>
    <w:link w:val="842"/>
    <w:uiPriority w:val="99"/>
    <w:rPr>
      <w:sz w:val="20"/>
    </w:rPr>
  </w:style>
  <w:style w:type="character" w:styleId="844">
    <w:name w:val="endnote reference"/>
    <w:uiPriority w:val="99"/>
    <w:semiHidden/>
    <w:unhideWhenUsed/>
    <w:rPr>
      <w:vertAlign w:val="superscript"/>
    </w:rPr>
  </w:style>
  <w:style w:type="paragraph" w:styleId="845">
    <w:name w:val="toc 1"/>
    <w:basedOn w:val="856"/>
    <w:next w:val="856"/>
    <w:uiPriority w:val="39"/>
    <w:unhideWhenUsed/>
    <w:pPr>
      <w:ind w:left="0" w:right="0" w:firstLine="0"/>
      <w:spacing w:after="57"/>
    </w:pPr>
  </w:style>
  <w:style w:type="paragraph" w:styleId="846">
    <w:name w:val="toc 2"/>
    <w:basedOn w:val="856"/>
    <w:next w:val="856"/>
    <w:uiPriority w:val="39"/>
    <w:unhideWhenUsed/>
    <w:pPr>
      <w:ind w:left="283" w:right="0" w:firstLine="0"/>
      <w:spacing w:after="57"/>
    </w:pPr>
  </w:style>
  <w:style w:type="paragraph" w:styleId="847">
    <w:name w:val="toc 3"/>
    <w:basedOn w:val="856"/>
    <w:next w:val="856"/>
    <w:uiPriority w:val="39"/>
    <w:unhideWhenUsed/>
    <w:pPr>
      <w:ind w:left="567" w:right="0" w:firstLine="0"/>
      <w:spacing w:after="57"/>
    </w:pPr>
  </w:style>
  <w:style w:type="paragraph" w:styleId="848">
    <w:name w:val="toc 4"/>
    <w:basedOn w:val="856"/>
    <w:next w:val="856"/>
    <w:uiPriority w:val="39"/>
    <w:unhideWhenUsed/>
    <w:pPr>
      <w:ind w:left="850" w:right="0" w:firstLine="0"/>
      <w:spacing w:after="57"/>
    </w:pPr>
  </w:style>
  <w:style w:type="paragraph" w:styleId="849">
    <w:name w:val="toc 5"/>
    <w:basedOn w:val="856"/>
    <w:next w:val="856"/>
    <w:uiPriority w:val="39"/>
    <w:unhideWhenUsed/>
    <w:pPr>
      <w:ind w:left="1134" w:right="0" w:firstLine="0"/>
      <w:spacing w:after="57"/>
    </w:pPr>
  </w:style>
  <w:style w:type="paragraph" w:styleId="850">
    <w:name w:val="toc 6"/>
    <w:basedOn w:val="856"/>
    <w:next w:val="856"/>
    <w:uiPriority w:val="39"/>
    <w:unhideWhenUsed/>
    <w:pPr>
      <w:ind w:left="1417" w:right="0" w:firstLine="0"/>
      <w:spacing w:after="57"/>
    </w:pPr>
  </w:style>
  <w:style w:type="paragraph" w:styleId="851">
    <w:name w:val="toc 7"/>
    <w:basedOn w:val="856"/>
    <w:next w:val="856"/>
    <w:uiPriority w:val="39"/>
    <w:unhideWhenUsed/>
    <w:pPr>
      <w:ind w:left="1701" w:right="0" w:firstLine="0"/>
      <w:spacing w:after="57"/>
    </w:pPr>
  </w:style>
  <w:style w:type="paragraph" w:styleId="852">
    <w:name w:val="toc 8"/>
    <w:basedOn w:val="856"/>
    <w:next w:val="856"/>
    <w:uiPriority w:val="39"/>
    <w:unhideWhenUsed/>
    <w:pPr>
      <w:ind w:left="1984" w:right="0" w:firstLine="0"/>
      <w:spacing w:after="57"/>
    </w:pPr>
  </w:style>
  <w:style w:type="paragraph" w:styleId="853">
    <w:name w:val="toc 9"/>
    <w:basedOn w:val="856"/>
    <w:next w:val="856"/>
    <w:uiPriority w:val="39"/>
    <w:unhideWhenUsed/>
    <w:pPr>
      <w:ind w:left="2268" w:right="0" w:firstLine="0"/>
      <w:spacing w:after="57"/>
    </w:pPr>
  </w:style>
  <w:style w:type="paragraph" w:styleId="854">
    <w:name w:val="TOC Heading"/>
    <w:uiPriority w:val="39"/>
    <w:unhideWhenUsed/>
  </w:style>
  <w:style w:type="paragraph" w:styleId="855">
    <w:name w:val="table of figures"/>
    <w:basedOn w:val="856"/>
    <w:next w:val="856"/>
    <w:uiPriority w:val="99"/>
    <w:unhideWhenUsed/>
    <w:pPr>
      <w:spacing w:after="0" w:afterAutospacing="0"/>
    </w:pPr>
  </w:style>
  <w:style w:type="paragraph" w:styleId="856" w:default="1">
    <w:name w:val="Normal"/>
    <w:qFormat/>
    <w:pPr>
      <w:widowControl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ar-SA"/>
    </w:rPr>
  </w:style>
  <w:style w:type="paragraph" w:styleId="857">
    <w:name w:val="Heading 1"/>
    <w:basedOn w:val="856"/>
    <w:next w:val="856"/>
    <w:qFormat/>
    <w:pPr>
      <w:numPr>
        <w:ilvl w:val="0"/>
        <w:numId w:val="1"/>
      </w:numPr>
      <w:keepNext/>
      <w:outlineLvl w:val="0"/>
    </w:pPr>
    <w:rPr>
      <w:b/>
      <w:bCs/>
      <w:sz w:val="28"/>
      <w:lang w:val="ru-RU"/>
    </w:rPr>
  </w:style>
  <w:style w:type="paragraph" w:styleId="858">
    <w:name w:val="Heading 2"/>
    <w:basedOn w:val="856"/>
    <w:next w:val="856"/>
    <w:qFormat/>
    <w:pPr>
      <w:numPr>
        <w:ilvl w:val="1"/>
        <w:numId w:val="1"/>
      </w:numPr>
      <w:ind w:left="0" w:right="-725" w:firstLine="0"/>
      <w:keepNext/>
      <w:outlineLvl w:val="1"/>
    </w:pPr>
    <w:rPr>
      <w:sz w:val="28"/>
    </w:rPr>
  </w:style>
  <w:style w:type="paragraph" w:styleId="859">
    <w:name w:val="Heading 3"/>
    <w:basedOn w:val="856"/>
    <w:next w:val="856"/>
    <w:qFormat/>
    <w:pPr>
      <w:numPr>
        <w:ilvl w:val="2"/>
        <w:numId w:val="1"/>
      </w:numPr>
      <w:keepNext/>
      <w:outlineLvl w:val="2"/>
    </w:pPr>
    <w:rPr>
      <w:sz w:val="28"/>
      <w:lang w:val="ru-RU"/>
    </w:rPr>
  </w:style>
  <w:style w:type="character" w:styleId="860">
    <w:name w:val="WW8Num1z0"/>
    <w:qFormat/>
  </w:style>
  <w:style w:type="character" w:styleId="861">
    <w:name w:val="WW8Num2z0"/>
    <w:qFormat/>
  </w:style>
  <w:style w:type="character" w:styleId="862">
    <w:name w:val="WW8Num3z0"/>
    <w:qFormat/>
    <w:rPr>
      <w:rFonts w:ascii="Times New Roman" w:hAnsi="Times New Roman" w:eastAsia="Times New Roman" w:cs="Times New Roman"/>
    </w:rPr>
  </w:style>
  <w:style w:type="character" w:styleId="863">
    <w:name w:val="WW8Num3z1"/>
    <w:qFormat/>
    <w:rPr>
      <w:rFonts w:ascii="Courier New" w:hAnsi="Courier New" w:cs="Courier New"/>
    </w:rPr>
  </w:style>
  <w:style w:type="character" w:styleId="864">
    <w:name w:val="WW8Num3z2"/>
    <w:qFormat/>
    <w:rPr>
      <w:rFonts w:ascii="Wingdings" w:hAnsi="Wingdings" w:cs="Wingdings"/>
    </w:rPr>
  </w:style>
  <w:style w:type="character" w:styleId="865">
    <w:name w:val="WW8Num3z3"/>
    <w:qFormat/>
    <w:rPr>
      <w:rFonts w:ascii="Symbol" w:hAnsi="Symbol" w:cs="Symbol"/>
    </w:rPr>
  </w:style>
  <w:style w:type="character" w:styleId="866">
    <w:name w:val="Основной шрифт абзаца"/>
    <w:qFormat/>
  </w:style>
  <w:style w:type="character" w:styleId="867">
    <w:name w:val="Page Number"/>
    <w:basedOn w:val="866"/>
  </w:style>
  <w:style w:type="character" w:styleId="868">
    <w:name w:val="Нижний колонтитул Знак"/>
    <w:qFormat/>
    <w:rPr>
      <w:sz w:val="24"/>
      <w:szCs w:val="24"/>
    </w:rPr>
  </w:style>
  <w:style w:type="character" w:styleId="869">
    <w:name w:val="Текст выноски Знак"/>
    <w:qFormat/>
    <w:rPr>
      <w:rFonts w:ascii="Tahoma" w:hAnsi="Tahoma" w:cs="Tahoma"/>
      <w:sz w:val="16"/>
      <w:szCs w:val="16"/>
    </w:rPr>
  </w:style>
  <w:style w:type="character" w:styleId="870">
    <w:name w:val="Заголовок 3 Знак"/>
    <w:qFormat/>
    <w:rPr>
      <w:sz w:val="28"/>
      <w:szCs w:val="24"/>
    </w:rPr>
  </w:style>
  <w:style w:type="character" w:styleId="871">
    <w:name w:val="Основной текст Знак"/>
    <w:qFormat/>
    <w:rPr>
      <w:sz w:val="28"/>
    </w:rPr>
  </w:style>
  <w:style w:type="character" w:styleId="872">
    <w:name w:val="Заголовок 1 Знак"/>
    <w:qFormat/>
    <w:rPr>
      <w:b/>
      <w:bCs/>
      <w:sz w:val="28"/>
      <w:szCs w:val="24"/>
    </w:rPr>
  </w:style>
  <w:style w:type="character" w:styleId="873">
    <w:name w:val="Hyperlink"/>
    <w:rPr>
      <w:color w:val="0563c1"/>
      <w:u w:val="single"/>
    </w:rPr>
  </w:style>
  <w:style w:type="paragraph" w:styleId="874">
    <w:name w:val="Заголовок"/>
    <w:basedOn w:val="856"/>
    <w:next w:val="875"/>
    <w:qFormat/>
    <w:pPr>
      <w:keepNext/>
      <w:spacing w:before="240" w:after="120"/>
    </w:pPr>
    <w:rPr>
      <w:rFonts w:ascii="Liberation Sans" w:hAnsi="Liberation Sans" w:eastAsia="WenQuanYi Micro Hei" w:cs="Lohit Devanagari"/>
      <w:sz w:val="28"/>
      <w:szCs w:val="28"/>
    </w:rPr>
  </w:style>
  <w:style w:type="paragraph" w:styleId="875">
    <w:name w:val="Body Text"/>
    <w:basedOn w:val="856"/>
    <w:rPr>
      <w:sz w:val="28"/>
      <w:szCs w:val="20"/>
      <w:lang w:val="ru-RU"/>
    </w:rPr>
  </w:style>
  <w:style w:type="paragraph" w:styleId="876">
    <w:name w:val="List"/>
    <w:basedOn w:val="875"/>
    <w:rPr>
      <w:rFonts w:cs="Lohit Devanagari"/>
    </w:rPr>
  </w:style>
  <w:style w:type="paragraph" w:styleId="877">
    <w:name w:val="Caption"/>
    <w:basedOn w:val="856"/>
    <w:link w:val="712"/>
    <w:qFormat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878">
    <w:name w:val="Указатель"/>
    <w:basedOn w:val="856"/>
    <w:qFormat/>
    <w:pPr>
      <w:suppressLineNumbers/>
    </w:pPr>
    <w:rPr>
      <w:rFonts w:cs="Lohit Devanagari"/>
    </w:rPr>
  </w:style>
  <w:style w:type="paragraph" w:styleId="879">
    <w:name w:val="Колонтитул"/>
    <w:basedOn w:val="856"/>
    <w:qFormat/>
    <w:pPr>
      <w:tabs>
        <w:tab w:val="clear" w:pos="708" w:leader="none"/>
        <w:tab w:val="center" w:pos="4819" w:leader="none"/>
        <w:tab w:val="right" w:pos="9638" w:leader="none"/>
      </w:tabs>
      <w:suppressLineNumbers/>
    </w:pPr>
  </w:style>
  <w:style w:type="paragraph" w:styleId="880">
    <w:name w:val="Header"/>
    <w:basedOn w:val="856"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81">
    <w:name w:val="Основной текст 2"/>
    <w:basedOn w:val="856"/>
    <w:qFormat/>
    <w:pPr>
      <w:jc w:val="both"/>
      <w:tabs>
        <w:tab w:val="left" w:pos="0" w:leader="none"/>
        <w:tab w:val="clear" w:pos="708" w:leader="none"/>
      </w:tabs>
    </w:pPr>
    <w:rPr>
      <w:rFonts w:ascii="Arial" w:hAnsi="Arial" w:cs="Arial"/>
      <w:sz w:val="26"/>
    </w:rPr>
  </w:style>
  <w:style w:type="paragraph" w:styleId="882">
    <w:name w:val="Footer"/>
    <w:basedOn w:val="856"/>
    <w:pPr>
      <w:tabs>
        <w:tab w:val="clear" w:pos="708" w:leader="none"/>
        <w:tab w:val="center" w:pos="4677" w:leader="none"/>
        <w:tab w:val="right" w:pos="9355" w:leader="none"/>
      </w:tabs>
    </w:pPr>
    <w:rPr>
      <w:lang w:val="ru-RU"/>
    </w:rPr>
  </w:style>
  <w:style w:type="paragraph" w:styleId="883">
    <w:name w:val="Основной текст 3"/>
    <w:basedOn w:val="856"/>
    <w:qFormat/>
    <w:pPr>
      <w:spacing w:before="0" w:after="120"/>
    </w:pPr>
    <w:rPr>
      <w:sz w:val="16"/>
      <w:szCs w:val="16"/>
    </w:rPr>
  </w:style>
  <w:style w:type="paragraph" w:styleId="884">
    <w:name w:val="Текст выноски"/>
    <w:basedOn w:val="856"/>
    <w:qFormat/>
    <w:rPr>
      <w:rFonts w:ascii="Tahoma" w:hAnsi="Tahoma" w:cs="Tahoma"/>
      <w:sz w:val="16"/>
      <w:szCs w:val="16"/>
      <w:lang w:val="ru-RU"/>
    </w:rPr>
  </w:style>
  <w:style w:type="paragraph" w:styleId="885">
    <w:name w:val="Содержимое таблицы"/>
    <w:basedOn w:val="856"/>
    <w:qFormat/>
    <w:pPr>
      <w:widowControl w:val="off"/>
      <w:suppressLineNumbers/>
    </w:pPr>
  </w:style>
  <w:style w:type="paragraph" w:styleId="886">
    <w:name w:val="Заголовок таблицы"/>
    <w:basedOn w:val="885"/>
    <w:qFormat/>
    <w:pPr>
      <w:jc w:val="center"/>
      <w:suppressLineNumbers/>
    </w:pPr>
    <w:rPr>
      <w:b/>
      <w:bCs/>
    </w:rPr>
  </w:style>
  <w:style w:type="numbering" w:styleId="887">
    <w:name w:val="WW8Num1"/>
    <w:qFormat/>
  </w:style>
  <w:style w:type="numbering" w:styleId="888">
    <w:name w:val="WW8Num2"/>
    <w:qFormat/>
  </w:style>
  <w:style w:type="numbering" w:styleId="889">
    <w:name w:val="WW8Num3"/>
    <w:qFormat/>
  </w:style>
  <w:style w:type="character" w:styleId="890" w:default="1">
    <w:name w:val="Default Paragraph Font"/>
    <w:uiPriority w:val="1"/>
    <w:semiHidden/>
    <w:unhideWhenUsed/>
  </w:style>
  <w:style w:type="numbering" w:styleId="891" w:default="1">
    <w:name w:val="No List"/>
    <w:uiPriority w:val="99"/>
    <w:semiHidden/>
    <w:unhideWhenUsed/>
  </w:style>
  <w:style w:type="table" w:styleId="892" w:default="1">
    <w:name w:val="Normal Table"/>
    <w:uiPriority w:val="99"/>
    <w:semiHidden/>
    <w:unhideWhenUsed/>
    <w:tblPr/>
  </w:style>
  <w:style w:type="paragraph" w:styleId="893" w:customStyle="1">
    <w:name w:val="Body Text 2"/>
    <w:pPr>
      <w:contextualSpacing w:val="0"/>
      <w:ind w:left="0" w:right="0" w:firstLine="0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0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94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95" w:customStyle="1">
    <w:name w:val="annotation text"/>
    <w:basedOn w:val="876"/>
    <w:uiPriority w:val="99"/>
    <w:unhideWhenUsed/>
    <w:qFormat/>
    <w:pPr>
      <w:contextualSpacing w:val="0"/>
      <w:ind w:left="0" w:right="0" w:firstLine="0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 CYR" w:hAnsi="Times New Roman CYR" w:eastAsia="Times New Roman" w:cs="Times New Roman CYR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Template>Normal_x0000_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№</dc:title>
  <dc:subject/>
  <dc:creator>User</dc:creator>
  <cp:keywords/>
  <dc:description/>
  <dc:language>ru-RU</dc:language>
  <cp:lastModifiedBy>nasibullina</cp:lastModifiedBy>
  <cp:revision>35</cp:revision>
  <dcterms:created xsi:type="dcterms:W3CDTF">2024-11-28T16:43:00Z</dcterms:created>
  <dcterms:modified xsi:type="dcterms:W3CDTF">2026-10-22T07:05:05Z</dcterms:modified>
</cp:coreProperties>
</file>