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4A5D" w14:textId="0F04E058" w:rsidR="00AC26AA" w:rsidRPr="00AA08B9" w:rsidRDefault="00AC26AA" w:rsidP="00AC26AA">
      <w:pPr>
        <w:tabs>
          <w:tab w:val="left" w:pos="4395"/>
        </w:tabs>
        <w:spacing w:after="0" w:line="240" w:lineRule="auto"/>
        <w:jc w:val="right"/>
        <w:rPr>
          <w:rFonts w:ascii="Times New Roman" w:hAnsi="Times New Roman"/>
          <w:bCs/>
          <w:sz w:val="18"/>
          <w:szCs w:val="18"/>
        </w:rPr>
      </w:pPr>
      <w:r w:rsidRPr="00AA08B9">
        <w:rPr>
          <w:rFonts w:ascii="Times New Roman" w:hAnsi="Times New Roman"/>
          <w:bCs/>
          <w:sz w:val="18"/>
          <w:szCs w:val="18"/>
        </w:rPr>
        <w:t xml:space="preserve">Приложение </w:t>
      </w:r>
      <w:r w:rsidR="00CA3AD8" w:rsidRPr="00AA08B9">
        <w:rPr>
          <w:rFonts w:ascii="Times New Roman" w:hAnsi="Times New Roman"/>
          <w:bCs/>
          <w:sz w:val="18"/>
          <w:szCs w:val="18"/>
        </w:rPr>
        <w:t xml:space="preserve">№ 1 </w:t>
      </w:r>
      <w:r w:rsidRPr="00AA08B9">
        <w:rPr>
          <w:rFonts w:ascii="Times New Roman" w:hAnsi="Times New Roman"/>
          <w:bCs/>
          <w:sz w:val="18"/>
          <w:szCs w:val="18"/>
        </w:rPr>
        <w:t>к Техническому заданию</w:t>
      </w:r>
    </w:p>
    <w:p w14:paraId="25B7748C" w14:textId="77777777" w:rsidR="00AC26AA" w:rsidRPr="00AA08B9" w:rsidRDefault="00AC26AA" w:rsidP="00645B7A">
      <w:pPr>
        <w:tabs>
          <w:tab w:val="left" w:pos="4395"/>
        </w:tabs>
        <w:spacing w:after="0" w:line="240" w:lineRule="auto"/>
        <w:jc w:val="center"/>
        <w:rPr>
          <w:rFonts w:ascii="Times New Roman" w:hAnsi="Times New Roman"/>
          <w:b/>
          <w:sz w:val="18"/>
          <w:szCs w:val="18"/>
        </w:rPr>
      </w:pPr>
    </w:p>
    <w:p w14:paraId="1A62A71D" w14:textId="0516C68A" w:rsidR="00645B7A" w:rsidRPr="00AA08B9" w:rsidRDefault="00645B7A" w:rsidP="00645B7A">
      <w:pPr>
        <w:tabs>
          <w:tab w:val="left" w:pos="4395"/>
        </w:tabs>
        <w:spacing w:after="0" w:line="240" w:lineRule="auto"/>
        <w:jc w:val="center"/>
        <w:rPr>
          <w:rFonts w:ascii="Times New Roman" w:hAnsi="Times New Roman"/>
          <w:b/>
          <w:sz w:val="18"/>
          <w:szCs w:val="18"/>
        </w:rPr>
      </w:pPr>
      <w:r w:rsidRPr="00AA08B9">
        <w:rPr>
          <w:rFonts w:ascii="Times New Roman" w:hAnsi="Times New Roman"/>
          <w:b/>
          <w:sz w:val="18"/>
          <w:szCs w:val="18"/>
        </w:rPr>
        <w:t>СПЕЦИФИКАЦИЯ</w:t>
      </w:r>
    </w:p>
    <w:p w14:paraId="02845C89" w14:textId="77777777" w:rsidR="00645B7A" w:rsidRPr="00AA08B9" w:rsidRDefault="00645B7A" w:rsidP="00645B7A">
      <w:pPr>
        <w:tabs>
          <w:tab w:val="left" w:pos="4395"/>
        </w:tabs>
        <w:spacing w:after="0" w:line="240" w:lineRule="auto"/>
        <w:jc w:val="center"/>
        <w:rPr>
          <w:rFonts w:ascii="Times New Roman" w:hAnsi="Times New Roman"/>
          <w:b/>
          <w:sz w:val="18"/>
          <w:szCs w:val="18"/>
        </w:rPr>
      </w:pP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3"/>
        <w:gridCol w:w="5067"/>
        <w:gridCol w:w="4348"/>
        <w:gridCol w:w="1080"/>
        <w:gridCol w:w="1257"/>
        <w:gridCol w:w="1195"/>
      </w:tblGrid>
      <w:tr w:rsidR="00AA08B9" w:rsidRPr="00AA08B9" w14:paraId="042047DF" w14:textId="6094B7E5" w:rsidTr="00161AA8">
        <w:trPr>
          <w:trHeight w:val="505"/>
        </w:trPr>
        <w:tc>
          <w:tcPr>
            <w:tcW w:w="483" w:type="dxa"/>
            <w:shd w:val="clear" w:color="auto" w:fill="E3F1F1"/>
            <w:vAlign w:val="center"/>
            <w:hideMark/>
          </w:tcPr>
          <w:p w14:paraId="3ACF9681" w14:textId="77777777"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 п/п</w:t>
            </w:r>
          </w:p>
        </w:tc>
        <w:tc>
          <w:tcPr>
            <w:tcW w:w="1963" w:type="dxa"/>
            <w:shd w:val="clear" w:color="auto" w:fill="E3F1F1"/>
            <w:vAlign w:val="center"/>
            <w:hideMark/>
          </w:tcPr>
          <w:p w14:paraId="48CDB2D9" w14:textId="77777777"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Наименование Товара</w:t>
            </w:r>
          </w:p>
        </w:tc>
        <w:tc>
          <w:tcPr>
            <w:tcW w:w="5067" w:type="dxa"/>
            <w:shd w:val="clear" w:color="auto" w:fill="E3F1F1"/>
            <w:vAlign w:val="center"/>
            <w:hideMark/>
          </w:tcPr>
          <w:p w14:paraId="40BFB5E9" w14:textId="353CF8E1" w:rsidR="0014795C" w:rsidRPr="00AA08B9" w:rsidRDefault="0014795C" w:rsidP="007E68F5">
            <w:pPr>
              <w:spacing w:after="0" w:line="240" w:lineRule="auto"/>
              <w:jc w:val="center"/>
              <w:rPr>
                <w:rFonts w:ascii="Times New Roman" w:hAnsi="Times New Roman"/>
                <w:b/>
                <w:bCs/>
                <w:sz w:val="18"/>
                <w:szCs w:val="18"/>
              </w:rPr>
            </w:pPr>
            <w:r w:rsidRPr="00AA08B9">
              <w:rPr>
                <w:rFonts w:ascii="Times New Roman" w:hAnsi="Times New Roman"/>
                <w:b/>
                <w:bCs/>
                <w:sz w:val="18"/>
                <w:szCs w:val="18"/>
              </w:rPr>
              <w:t>Требования к качеству, техническим характеристикам товара, требования к их безопасности, требования к их функциональным характеристикам (потребительские свойства)</w:t>
            </w:r>
          </w:p>
        </w:tc>
        <w:tc>
          <w:tcPr>
            <w:tcW w:w="4348" w:type="dxa"/>
            <w:shd w:val="clear" w:color="auto" w:fill="E3F1F1"/>
          </w:tcPr>
          <w:p w14:paraId="516EF7F6" w14:textId="0ADA591B"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1080" w:type="dxa"/>
            <w:shd w:val="clear" w:color="auto" w:fill="E3F1F1"/>
            <w:hideMark/>
          </w:tcPr>
          <w:p w14:paraId="15B275FA" w14:textId="60D11DBE"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Единица измерения</w:t>
            </w:r>
          </w:p>
        </w:tc>
        <w:tc>
          <w:tcPr>
            <w:tcW w:w="1257" w:type="dxa"/>
            <w:shd w:val="clear" w:color="auto" w:fill="E3F1F1"/>
            <w:hideMark/>
          </w:tcPr>
          <w:p w14:paraId="7A64B27C" w14:textId="77777777"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Количество</w:t>
            </w:r>
          </w:p>
        </w:tc>
        <w:tc>
          <w:tcPr>
            <w:tcW w:w="1195" w:type="dxa"/>
            <w:shd w:val="clear" w:color="auto" w:fill="E3F1F1"/>
          </w:tcPr>
          <w:p w14:paraId="445FC400" w14:textId="21CAF57E" w:rsidR="0014795C" w:rsidRPr="00AA08B9" w:rsidRDefault="0014795C" w:rsidP="00A6285A">
            <w:pPr>
              <w:spacing w:after="0" w:line="240" w:lineRule="auto"/>
              <w:jc w:val="center"/>
              <w:rPr>
                <w:rFonts w:ascii="Times New Roman" w:hAnsi="Times New Roman"/>
                <w:b/>
                <w:bCs/>
                <w:sz w:val="18"/>
                <w:szCs w:val="18"/>
              </w:rPr>
            </w:pPr>
            <w:r w:rsidRPr="00AA08B9">
              <w:rPr>
                <w:rFonts w:ascii="Times New Roman" w:hAnsi="Times New Roman"/>
                <w:b/>
                <w:bCs/>
                <w:sz w:val="18"/>
                <w:szCs w:val="18"/>
              </w:rPr>
              <w:t>Требования к сроку годности</w:t>
            </w:r>
          </w:p>
        </w:tc>
      </w:tr>
      <w:tr w:rsidR="00AA08B9" w:rsidRPr="00AA08B9" w14:paraId="7DBC0D12" w14:textId="28EF1ED9" w:rsidTr="00161AA8">
        <w:trPr>
          <w:trHeight w:val="239"/>
        </w:trPr>
        <w:tc>
          <w:tcPr>
            <w:tcW w:w="483" w:type="dxa"/>
            <w:shd w:val="clear" w:color="auto" w:fill="E3F1F1"/>
          </w:tcPr>
          <w:p w14:paraId="6571DD32" w14:textId="77777777"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1</w:t>
            </w:r>
          </w:p>
        </w:tc>
        <w:tc>
          <w:tcPr>
            <w:tcW w:w="1963" w:type="dxa"/>
            <w:shd w:val="clear" w:color="auto" w:fill="E3F1F1"/>
          </w:tcPr>
          <w:p w14:paraId="5C3FC74A" w14:textId="77777777"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2</w:t>
            </w:r>
          </w:p>
        </w:tc>
        <w:tc>
          <w:tcPr>
            <w:tcW w:w="5067" w:type="dxa"/>
            <w:shd w:val="clear" w:color="auto" w:fill="E3F1F1"/>
          </w:tcPr>
          <w:p w14:paraId="15CD52F4" w14:textId="77777777" w:rsidR="0014795C" w:rsidRPr="00AA08B9" w:rsidRDefault="0014795C" w:rsidP="007E68F5">
            <w:pPr>
              <w:spacing w:after="0" w:line="240" w:lineRule="auto"/>
              <w:jc w:val="center"/>
              <w:rPr>
                <w:rFonts w:ascii="Times New Roman" w:hAnsi="Times New Roman"/>
                <w:sz w:val="18"/>
                <w:szCs w:val="18"/>
              </w:rPr>
            </w:pPr>
            <w:r w:rsidRPr="00AA08B9">
              <w:rPr>
                <w:rFonts w:ascii="Times New Roman" w:hAnsi="Times New Roman"/>
                <w:sz w:val="18"/>
                <w:szCs w:val="18"/>
              </w:rPr>
              <w:t>3</w:t>
            </w:r>
          </w:p>
        </w:tc>
        <w:tc>
          <w:tcPr>
            <w:tcW w:w="4348" w:type="dxa"/>
            <w:shd w:val="clear" w:color="auto" w:fill="E3F1F1"/>
          </w:tcPr>
          <w:p w14:paraId="02397365" w14:textId="6436B98B"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4</w:t>
            </w:r>
          </w:p>
        </w:tc>
        <w:tc>
          <w:tcPr>
            <w:tcW w:w="1080" w:type="dxa"/>
            <w:shd w:val="clear" w:color="auto" w:fill="E3F1F1"/>
          </w:tcPr>
          <w:p w14:paraId="00F411CB" w14:textId="59CB0A67"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5</w:t>
            </w:r>
          </w:p>
        </w:tc>
        <w:tc>
          <w:tcPr>
            <w:tcW w:w="1257" w:type="dxa"/>
            <w:shd w:val="clear" w:color="auto" w:fill="E3F1F1"/>
          </w:tcPr>
          <w:p w14:paraId="2E5B403C" w14:textId="084183A3"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6</w:t>
            </w:r>
          </w:p>
        </w:tc>
        <w:tc>
          <w:tcPr>
            <w:tcW w:w="1195" w:type="dxa"/>
            <w:shd w:val="clear" w:color="auto" w:fill="E3F1F1"/>
          </w:tcPr>
          <w:p w14:paraId="787F456B" w14:textId="02389474" w:rsidR="0014795C" w:rsidRPr="00AA08B9" w:rsidRDefault="0014795C" w:rsidP="00A6285A">
            <w:pPr>
              <w:spacing w:after="0" w:line="240" w:lineRule="auto"/>
              <w:jc w:val="center"/>
              <w:rPr>
                <w:rFonts w:ascii="Times New Roman" w:hAnsi="Times New Roman"/>
                <w:sz w:val="18"/>
                <w:szCs w:val="18"/>
              </w:rPr>
            </w:pPr>
            <w:r w:rsidRPr="00AA08B9">
              <w:rPr>
                <w:rFonts w:ascii="Times New Roman" w:hAnsi="Times New Roman"/>
                <w:sz w:val="18"/>
                <w:szCs w:val="18"/>
              </w:rPr>
              <w:t>7</w:t>
            </w:r>
          </w:p>
        </w:tc>
      </w:tr>
      <w:tr w:rsidR="00AA08B9" w:rsidRPr="00AA08B9" w14:paraId="2342DC2E" w14:textId="45970ADD" w:rsidTr="00161AA8">
        <w:trPr>
          <w:trHeight w:val="214"/>
        </w:trPr>
        <w:tc>
          <w:tcPr>
            <w:tcW w:w="483" w:type="dxa"/>
            <w:shd w:val="clear" w:color="auto" w:fill="auto"/>
          </w:tcPr>
          <w:p w14:paraId="7E7C8DAD" w14:textId="77777777"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1</w:t>
            </w:r>
          </w:p>
          <w:p w14:paraId="247AD6BA" w14:textId="216D2344" w:rsidR="0007710D" w:rsidRPr="00AA08B9" w:rsidRDefault="0007710D" w:rsidP="0007710D">
            <w:pPr>
              <w:spacing w:after="0" w:line="240" w:lineRule="auto"/>
              <w:jc w:val="both"/>
              <w:rPr>
                <w:rFonts w:ascii="Times New Roman" w:hAnsi="Times New Roman"/>
                <w:sz w:val="18"/>
                <w:szCs w:val="18"/>
              </w:rPr>
            </w:pPr>
          </w:p>
        </w:tc>
        <w:tc>
          <w:tcPr>
            <w:tcW w:w="1963" w:type="dxa"/>
            <w:shd w:val="clear" w:color="auto" w:fill="auto"/>
          </w:tcPr>
          <w:p w14:paraId="178C5133" w14:textId="1DDF808F" w:rsidR="0007710D" w:rsidRPr="00AA08B9" w:rsidRDefault="0007710D" w:rsidP="0043747B">
            <w:pPr>
              <w:spacing w:after="0" w:line="240" w:lineRule="auto"/>
              <w:jc w:val="both"/>
              <w:rPr>
                <w:rFonts w:ascii="Times New Roman" w:hAnsi="Times New Roman"/>
                <w:sz w:val="18"/>
                <w:szCs w:val="18"/>
                <w:shd w:val="clear" w:color="auto" w:fill="FFFFFF"/>
              </w:rPr>
            </w:pPr>
            <w:r w:rsidRPr="00AA08B9">
              <w:rPr>
                <w:rFonts w:ascii="Times New Roman" w:hAnsi="Times New Roman"/>
                <w:sz w:val="18"/>
                <w:szCs w:val="18"/>
                <w:shd w:val="clear" w:color="auto" w:fill="FFFFFF"/>
              </w:rPr>
              <w:t>Говядина</w:t>
            </w:r>
            <w:r w:rsidR="00FF17B3" w:rsidRPr="00AA08B9">
              <w:rPr>
                <w:rFonts w:ascii="Times New Roman" w:hAnsi="Times New Roman"/>
                <w:sz w:val="18"/>
                <w:szCs w:val="18"/>
                <w:shd w:val="clear" w:color="auto" w:fill="FFFFFF"/>
              </w:rPr>
              <w:t xml:space="preserve"> лопаточная часть</w:t>
            </w:r>
            <w:r w:rsidR="0043747B" w:rsidRPr="00AA08B9">
              <w:rPr>
                <w:rFonts w:ascii="Times New Roman" w:hAnsi="Times New Roman"/>
                <w:sz w:val="18"/>
                <w:szCs w:val="18"/>
                <w:shd w:val="clear" w:color="auto" w:fill="FFFFFF"/>
              </w:rPr>
              <w:t xml:space="preserve"> </w:t>
            </w:r>
            <w:r w:rsidRPr="00AA08B9">
              <w:rPr>
                <w:rFonts w:ascii="Times New Roman" w:hAnsi="Times New Roman"/>
                <w:sz w:val="18"/>
                <w:szCs w:val="18"/>
                <w:shd w:val="clear" w:color="auto" w:fill="FFFFFF"/>
              </w:rPr>
              <w:t>(замороженная)</w:t>
            </w:r>
          </w:p>
        </w:tc>
        <w:tc>
          <w:tcPr>
            <w:tcW w:w="5067" w:type="dxa"/>
            <w:shd w:val="clear" w:color="auto" w:fill="auto"/>
          </w:tcPr>
          <w:p w14:paraId="18980848" w14:textId="77777777"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 xml:space="preserve">Мясо говядины от лопаточной части, бескостное, изготовлено в соответствии с требованиями ГОСТ 32951-2014, ГОСТ 31797-2012, ГОСТ Р 54754-2021. Мясо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 Поверхность ровная, не заветренная, края заровнены, без глубоких надрезов мышечной ткани (10 мм). Цвет характерный для доброкачественного мяса. Запах после размораживания свойственный свежему мясу. Без влагоудерживающих добавок. Технологические потери при дефростации и жиловке не более 9,99%, что составляет коэффициент потерь 1,111- разница веса брутто и нетто. При тепловой обработке потери не более 36,7, что составляет коэффициент технологических потерь 1,58- разница между нетто и готовым продуктом. Общий процент потерь, т.е. разница между брутто и готовым продуктом 43%, что составляет коэффициент 1,754.  Посторонние примеси, запах и привкус не допускаются. Не допускается мясо с признаками PSE (светлая окраска, рыхлая консистенция, кисловатый привкус, выраженное отделение мясного сока, низкая водосвязывающая способность. DFD (темно-красный цвет, волокнистость, жесткая консистенция, повышенная липкость, низкая стабильность при хранении, высокая водосвязывающая способность, а также RSE-мясо (мясо бледное, водянистое, с мягкой консистенцией, выделением мясного сока, кислым привкусом). В соответствии с приложением N 6 к СанПиН 2.3/2.4.3590-20 в состав продуктов не входят ингредиенты запрещённые при использовании организации питания детей, а также иные ингредиенты вредные для здоровья детей. Так же продукция изготовлена в соответствии с требованиями ТР ТС 034/2013, ТР ТС 021/2011 и другими документами, предусмотренными законами и нормативными актами.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 Каждая партия должна сопровождаться протоколами исследований аккредитованной лаборатории на соответствие требованиям ТРТС 021/2011, </w:t>
            </w:r>
            <w:hyperlink r:id="rId5" w:tooltip="&quot;ТР ТС 034/2013 Технический регламент Таможенного союза &quot;О безопасности мяса и мясной продукции&quot;&#10;(утв. решением Совета ЕЭК от 09.10.2013 N 68)&#10;Технический регламент Таможенного союза от 09.10.2013 N 034/2013&#10;Статус: действует с 01.05.2014" w:history="1">
              <w:r w:rsidRPr="00AA08B9">
                <w:rPr>
                  <w:rStyle w:val="a9"/>
                  <w:rFonts w:ascii="Times New Roman" w:hAnsi="Times New Roman"/>
                  <w:color w:val="auto"/>
                  <w:sz w:val="18"/>
                  <w:szCs w:val="18"/>
                </w:rPr>
                <w:t>ТР ТС 034/2013</w:t>
              </w:r>
            </w:hyperlink>
            <w:r w:rsidRPr="00AA08B9">
              <w:rPr>
                <w:rFonts w:ascii="Times New Roman" w:hAnsi="Times New Roman"/>
                <w:sz w:val="18"/>
                <w:szCs w:val="18"/>
              </w:rPr>
              <w:t>.</w:t>
            </w:r>
          </w:p>
          <w:p w14:paraId="7D13CAC5" w14:textId="2E1DC7EC" w:rsidR="00161AA8" w:rsidRPr="00AA08B9" w:rsidRDefault="00161AA8" w:rsidP="0007710D">
            <w:pPr>
              <w:spacing w:after="0" w:line="240" w:lineRule="auto"/>
              <w:jc w:val="both"/>
              <w:rPr>
                <w:rFonts w:ascii="Times New Roman" w:hAnsi="Times New Roman"/>
                <w:sz w:val="18"/>
                <w:szCs w:val="18"/>
              </w:rPr>
            </w:pPr>
            <w:r w:rsidRPr="00AA08B9">
              <w:rPr>
                <w:rFonts w:ascii="Times New Roman" w:hAnsi="Times New Roman"/>
                <w:sz w:val="18"/>
                <w:szCs w:val="18"/>
              </w:rPr>
              <w:t>Страна происхождения товара - Россия</w:t>
            </w:r>
          </w:p>
        </w:tc>
        <w:tc>
          <w:tcPr>
            <w:tcW w:w="4348" w:type="dxa"/>
          </w:tcPr>
          <w:p w14:paraId="0E073481" w14:textId="7368AA1B"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 xml:space="preserve">Потребительская упаковка производителя с маркировкой, герметичная (вакуум, спайка) масса нетто продукта от 1 до 5 кг. Защищает продукцию от воздействия окружающей среды, упаковочные материалы чистые, сухие, без постороннего запаха и изготовлены из материалов, разрешенных к применению для контакта с пищевой продукцией.  Транспортная упаковка целая без повреждений. Маркировка (на каждой потребительской и транспортной единице) четкая, средства маркировки не влияют на показатели качества продукции и обеспечивают стойкость маркировки при хранении, транспортировании и реализации. Товар упакован в соответствии с </w:t>
            </w:r>
            <w:hyperlink r:id="rId6"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AA08B9">
                <w:rPr>
                  <w:rStyle w:val="a9"/>
                  <w:rFonts w:ascii="Times New Roman" w:hAnsi="Times New Roman"/>
                  <w:color w:val="auto"/>
                  <w:sz w:val="18"/>
                  <w:szCs w:val="18"/>
                </w:rPr>
                <w:t>ТР ТС 005/2011</w:t>
              </w:r>
            </w:hyperlink>
            <w:r w:rsidRPr="00AA08B9">
              <w:rPr>
                <w:rFonts w:ascii="Times New Roman" w:hAnsi="Times New Roman"/>
                <w:sz w:val="18"/>
                <w:szCs w:val="18"/>
              </w:rPr>
              <w:t xml:space="preserve">, маркировка в соответствии с </w:t>
            </w:r>
            <w:hyperlink r:id="rId7"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AA08B9">
                <w:rPr>
                  <w:rStyle w:val="a9"/>
                  <w:rFonts w:ascii="Times New Roman" w:hAnsi="Times New Roman"/>
                  <w:color w:val="auto"/>
                  <w:sz w:val="18"/>
                  <w:szCs w:val="18"/>
                </w:rPr>
                <w:t>ТР ТС 022/2011</w:t>
              </w:r>
            </w:hyperlink>
            <w:r w:rsidRPr="00AA08B9">
              <w:rPr>
                <w:rFonts w:ascii="Times New Roman" w:hAnsi="Times New Roman"/>
                <w:sz w:val="18"/>
                <w:szCs w:val="18"/>
              </w:rPr>
              <w:t xml:space="preserve">.Наименование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На каждой упаковке и таре маркировка изготовителя с указанием наименования предприятия изготовителя и его место нахождения, наименование продукции, вида и сорта, дата выработки, условия хранения. Транспортировка продукции осуществляется в соответствии с </w:t>
            </w:r>
            <w:hyperlink r:id="rId8"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AA08B9">
                <w:rPr>
                  <w:rStyle w:val="a9"/>
                  <w:rFonts w:ascii="Times New Roman" w:hAnsi="Times New Roman"/>
                  <w:color w:val="auto"/>
                  <w:sz w:val="18"/>
                  <w:szCs w:val="18"/>
                </w:rPr>
                <w:t>ТР ТС 021/2011</w:t>
              </w:r>
            </w:hyperlink>
            <w:r w:rsidRPr="00AA08B9">
              <w:rPr>
                <w:rFonts w:ascii="Times New Roman" w:hAnsi="Times New Roman"/>
                <w:sz w:val="18"/>
                <w:szCs w:val="18"/>
              </w:rPr>
              <w:t xml:space="preserve"> ст.17.Поставка продукции осуществляется в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080" w:type="dxa"/>
            <w:shd w:val="clear" w:color="auto" w:fill="auto"/>
          </w:tcPr>
          <w:p w14:paraId="7B56DF13" w14:textId="7C6EC77E"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кг</w:t>
            </w:r>
          </w:p>
        </w:tc>
        <w:tc>
          <w:tcPr>
            <w:tcW w:w="1257" w:type="dxa"/>
            <w:shd w:val="clear" w:color="auto" w:fill="auto"/>
          </w:tcPr>
          <w:p w14:paraId="4EB8D150" w14:textId="40E82110"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30 000</w:t>
            </w:r>
          </w:p>
        </w:tc>
        <w:tc>
          <w:tcPr>
            <w:tcW w:w="1195" w:type="dxa"/>
          </w:tcPr>
          <w:p w14:paraId="4E8896D4" w14:textId="5067BD05" w:rsidR="0007710D" w:rsidRPr="00AA08B9" w:rsidRDefault="0007710D" w:rsidP="0007710D">
            <w:pPr>
              <w:spacing w:after="0" w:line="240" w:lineRule="auto"/>
              <w:jc w:val="both"/>
              <w:rPr>
                <w:rFonts w:ascii="Times New Roman" w:hAnsi="Times New Roman"/>
                <w:sz w:val="18"/>
                <w:szCs w:val="18"/>
              </w:rPr>
            </w:pPr>
            <w:r w:rsidRPr="00AA08B9">
              <w:rPr>
                <w:rFonts w:ascii="Times New Roman" w:hAnsi="Times New Roman"/>
                <w:sz w:val="18"/>
                <w:szCs w:val="18"/>
              </w:rPr>
              <w:t>70% до окончания сроков годности на дату поставки</w:t>
            </w:r>
          </w:p>
        </w:tc>
      </w:tr>
      <w:tr w:rsidR="00985B3D" w:rsidRPr="00AA08B9" w14:paraId="67017572" w14:textId="690F14FC" w:rsidTr="00161AA8">
        <w:trPr>
          <w:trHeight w:val="262"/>
        </w:trPr>
        <w:tc>
          <w:tcPr>
            <w:tcW w:w="483" w:type="dxa"/>
            <w:shd w:val="clear" w:color="auto" w:fill="auto"/>
          </w:tcPr>
          <w:p w14:paraId="57037D47" w14:textId="1C07C44A" w:rsidR="00985B3D" w:rsidRPr="00AA08B9" w:rsidRDefault="00985B3D" w:rsidP="00985B3D">
            <w:pPr>
              <w:spacing w:after="0" w:line="240" w:lineRule="auto"/>
              <w:jc w:val="both"/>
              <w:rPr>
                <w:rFonts w:ascii="Times New Roman" w:hAnsi="Times New Roman"/>
                <w:sz w:val="18"/>
                <w:szCs w:val="18"/>
              </w:rPr>
            </w:pPr>
            <w:r w:rsidRPr="00AA08B9">
              <w:rPr>
                <w:rFonts w:ascii="Times New Roman" w:hAnsi="Times New Roman"/>
                <w:sz w:val="18"/>
                <w:szCs w:val="18"/>
              </w:rPr>
              <w:lastRenderedPageBreak/>
              <w:t>2</w:t>
            </w:r>
          </w:p>
        </w:tc>
        <w:tc>
          <w:tcPr>
            <w:tcW w:w="1963" w:type="dxa"/>
            <w:shd w:val="clear" w:color="auto" w:fill="auto"/>
          </w:tcPr>
          <w:p w14:paraId="0E4DBCD9" w14:textId="77777777" w:rsidR="00985B3D" w:rsidRPr="00AA08B9" w:rsidRDefault="00985B3D" w:rsidP="00985B3D">
            <w:pPr>
              <w:spacing w:after="0" w:line="240" w:lineRule="auto"/>
              <w:jc w:val="both"/>
              <w:rPr>
                <w:rFonts w:ascii="Times New Roman" w:hAnsi="Times New Roman"/>
                <w:sz w:val="18"/>
                <w:szCs w:val="18"/>
                <w:shd w:val="clear" w:color="auto" w:fill="FFFFFF"/>
              </w:rPr>
            </w:pPr>
            <w:r w:rsidRPr="00AA08B9">
              <w:rPr>
                <w:rFonts w:ascii="Times New Roman" w:hAnsi="Times New Roman"/>
                <w:sz w:val="18"/>
                <w:szCs w:val="18"/>
                <w:shd w:val="clear" w:color="auto" w:fill="FFFFFF"/>
              </w:rPr>
              <w:t>Печень говяжья (замороженная)</w:t>
            </w:r>
          </w:p>
          <w:p w14:paraId="3BE9E210" w14:textId="42BBF54B" w:rsidR="00985B3D" w:rsidRPr="00AA08B9" w:rsidRDefault="00985B3D" w:rsidP="00985B3D">
            <w:pPr>
              <w:spacing w:after="0" w:line="240" w:lineRule="auto"/>
              <w:jc w:val="both"/>
              <w:rPr>
                <w:rFonts w:ascii="Times New Roman" w:hAnsi="Times New Roman"/>
                <w:sz w:val="18"/>
                <w:szCs w:val="18"/>
              </w:rPr>
            </w:pPr>
          </w:p>
        </w:tc>
        <w:tc>
          <w:tcPr>
            <w:tcW w:w="5067" w:type="dxa"/>
            <w:shd w:val="clear" w:color="auto" w:fill="auto"/>
          </w:tcPr>
          <w:p w14:paraId="3EF13EE5" w14:textId="77777777" w:rsidR="00985B3D" w:rsidRDefault="00985B3D" w:rsidP="00985B3D">
            <w:pPr>
              <w:spacing w:after="0" w:line="240" w:lineRule="auto"/>
              <w:jc w:val="both"/>
              <w:rPr>
                <w:rFonts w:ascii="Times New Roman" w:hAnsi="Times New Roman"/>
                <w:color w:val="000000"/>
                <w:sz w:val="18"/>
                <w:szCs w:val="18"/>
              </w:rPr>
            </w:pPr>
            <w:r w:rsidRPr="007E30E9">
              <w:rPr>
                <w:rFonts w:ascii="Times New Roman" w:hAnsi="Times New Roman"/>
                <w:color w:val="000000"/>
                <w:sz w:val="18"/>
                <w:szCs w:val="18"/>
              </w:rPr>
              <w:t>Продукт изготовлен из свежего сырья в соответствии с требованиями ГОСТ 32244-2013. Без ГМО. Без наружных кровеносных сосудов и желчных протоков; без лимфатических узлов, желчного пузыря и прирезей посторонних тканей. Поверхность ровная, не заветренная. Цвет светло-коричневый с оттенками коричневого. Запах после размораживания свойственный свежей печени. Посторонние примеси, запах и привкус не допускаются. В соответствии с приложением N 6 к СанПиН 2.3/2.4.3590-20 в состав продуктов не входят ингредиенты запрещённые при использовании организации питания детей, а также другие ингредиенты, причиняющие вред здоровью детей. Так же продукция соответствует требованиям ТР ТС 034/2013, ТР ТС 021/2011 и другими документами, предусмотренными законами и нормативными актами. Технологические потери при дефростации и жиловке не более 17,4%, что составляет коэффициент потерь 1,21- разница веса брутто и нетто. При тепловой обработке потери не более 29,6%, что составляет коэффициент технологических потерь 1,42- разница между нетто и готовым продуктом. Общий процент потерь, т.е. разница между брутто и готовым продуктом 41,8%, что составляет коэффициент 1,7182.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 Каждая партия должна сопровождаться протоколами исследований аккредитованной лаборатории на соответствие требованиям ТРТС 021/2011, ТР ТС 034/2013.</w:t>
            </w:r>
          </w:p>
          <w:p w14:paraId="16924E6A" w14:textId="4806B6E0" w:rsidR="00985B3D" w:rsidRPr="00AA08B9" w:rsidRDefault="00985B3D" w:rsidP="00985B3D">
            <w:pPr>
              <w:spacing w:after="0" w:line="240" w:lineRule="auto"/>
              <w:jc w:val="both"/>
              <w:rPr>
                <w:rFonts w:ascii="Times New Roman" w:hAnsi="Times New Roman"/>
                <w:sz w:val="18"/>
                <w:szCs w:val="18"/>
              </w:rPr>
            </w:pPr>
            <w:r w:rsidRPr="00AA08B9">
              <w:rPr>
                <w:rFonts w:ascii="Times New Roman" w:hAnsi="Times New Roman"/>
                <w:sz w:val="18"/>
                <w:szCs w:val="18"/>
              </w:rPr>
              <w:t>Страна происхождения товара - Россия</w:t>
            </w:r>
          </w:p>
        </w:tc>
        <w:tc>
          <w:tcPr>
            <w:tcW w:w="4348" w:type="dxa"/>
          </w:tcPr>
          <w:p w14:paraId="56F5E2EA" w14:textId="1D07196C" w:rsidR="00985B3D" w:rsidRPr="00AA08B9" w:rsidRDefault="00985B3D" w:rsidP="00985B3D">
            <w:pPr>
              <w:spacing w:after="0" w:line="240" w:lineRule="auto"/>
              <w:jc w:val="both"/>
              <w:rPr>
                <w:rFonts w:ascii="Times New Roman" w:hAnsi="Times New Roman"/>
                <w:sz w:val="18"/>
                <w:szCs w:val="18"/>
              </w:rPr>
            </w:pPr>
            <w:r w:rsidRPr="00350E83">
              <w:rPr>
                <w:rFonts w:ascii="Times New Roman" w:hAnsi="Times New Roman"/>
                <w:color w:val="000000"/>
                <w:sz w:val="18"/>
                <w:szCs w:val="18"/>
              </w:rPr>
              <w:t>Потребительская упаковка производителя с маркировкой, герметичная (вакуум, спайка) масса нетто продукта от 0,5 кг до 2 кг. Защищает продукцию от воздействия окружающей среды, упаковочные материалы чистые, сухие, без постороннего запаха и изготовлены из материалов, разрешенных к применению для контакта с пищевой продукцией. Товар упакован в соответствии с ТР ТС 005/2011, маркировка в соответствии с ТР ТС 022/2011. Транспортная упаковка чистая, целая.  Маркировка четкая, средства маркировки не влияют на показатели качества полуфабрикатов и обеспечивают стойкость маркировки при хранении, транспортировании и реализации.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На каждой упаковке и таре маркировка изготовителя с указанием наименования предприятия изготовителя и его место нахождения, наименование продукции, вида и сорта, дата выработки, условия хранения. Транспортировка продукции осуществляется в соответствии с ТР ТС 021/2011 ст.17.</w:t>
            </w:r>
            <w:r>
              <w:rPr>
                <w:rFonts w:ascii="Times New Roman" w:hAnsi="Times New Roman"/>
                <w:color w:val="000000"/>
                <w:sz w:val="18"/>
                <w:szCs w:val="18"/>
              </w:rPr>
              <w:t xml:space="preserve"> </w:t>
            </w:r>
            <w:r w:rsidRPr="00350E83">
              <w:rPr>
                <w:rFonts w:ascii="Times New Roman" w:hAnsi="Times New Roman"/>
                <w:color w:val="000000"/>
                <w:sz w:val="18"/>
                <w:szCs w:val="18"/>
              </w:rPr>
              <w:t>Поставка продукции осуществляется в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080" w:type="dxa"/>
            <w:shd w:val="clear" w:color="auto" w:fill="auto"/>
          </w:tcPr>
          <w:p w14:paraId="05D700BE" w14:textId="3B819C3E" w:rsidR="00985B3D" w:rsidRPr="00AA08B9" w:rsidRDefault="00985B3D" w:rsidP="00985B3D">
            <w:pPr>
              <w:spacing w:after="0" w:line="240" w:lineRule="auto"/>
              <w:jc w:val="both"/>
              <w:rPr>
                <w:rFonts w:ascii="Times New Roman" w:hAnsi="Times New Roman"/>
                <w:sz w:val="18"/>
                <w:szCs w:val="18"/>
              </w:rPr>
            </w:pPr>
            <w:r w:rsidRPr="00AA08B9">
              <w:rPr>
                <w:rFonts w:ascii="Times New Roman" w:hAnsi="Times New Roman"/>
                <w:sz w:val="18"/>
                <w:szCs w:val="18"/>
              </w:rPr>
              <w:t>кг</w:t>
            </w:r>
          </w:p>
        </w:tc>
        <w:tc>
          <w:tcPr>
            <w:tcW w:w="1257" w:type="dxa"/>
            <w:shd w:val="clear" w:color="auto" w:fill="auto"/>
          </w:tcPr>
          <w:p w14:paraId="24443066" w14:textId="7653D920" w:rsidR="00985B3D" w:rsidRPr="00AA08B9" w:rsidRDefault="00985B3D" w:rsidP="00985B3D">
            <w:pPr>
              <w:spacing w:after="0" w:line="240" w:lineRule="auto"/>
              <w:jc w:val="both"/>
              <w:rPr>
                <w:rFonts w:ascii="Times New Roman" w:hAnsi="Times New Roman"/>
                <w:sz w:val="18"/>
                <w:szCs w:val="18"/>
              </w:rPr>
            </w:pPr>
            <w:r w:rsidRPr="00AA08B9">
              <w:rPr>
                <w:rFonts w:ascii="Times New Roman" w:hAnsi="Times New Roman"/>
                <w:sz w:val="18"/>
                <w:szCs w:val="18"/>
              </w:rPr>
              <w:t>8 000</w:t>
            </w:r>
          </w:p>
        </w:tc>
        <w:tc>
          <w:tcPr>
            <w:tcW w:w="1195" w:type="dxa"/>
          </w:tcPr>
          <w:p w14:paraId="02A4FCD0" w14:textId="36CB3E89" w:rsidR="00985B3D" w:rsidRPr="00AA08B9" w:rsidRDefault="00985B3D" w:rsidP="00985B3D">
            <w:pPr>
              <w:spacing w:after="0" w:line="240" w:lineRule="auto"/>
              <w:jc w:val="both"/>
              <w:rPr>
                <w:rFonts w:ascii="Times New Roman" w:hAnsi="Times New Roman"/>
                <w:sz w:val="18"/>
                <w:szCs w:val="18"/>
              </w:rPr>
            </w:pPr>
            <w:r w:rsidRPr="00AA08B9">
              <w:rPr>
                <w:rFonts w:ascii="Times New Roman" w:hAnsi="Times New Roman"/>
                <w:sz w:val="18"/>
                <w:szCs w:val="18"/>
              </w:rPr>
              <w:t>80% до окончания сроков годности на дату поставки</w:t>
            </w:r>
          </w:p>
        </w:tc>
      </w:tr>
    </w:tbl>
    <w:p w14:paraId="0F9F50C9" w14:textId="77777777" w:rsidR="00E85ADC" w:rsidRPr="00AA08B9" w:rsidRDefault="00E85ADC" w:rsidP="00CC7523"/>
    <w:sectPr w:rsidR="00E85ADC" w:rsidRPr="00AA08B9" w:rsidSect="0014795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77DC5"/>
    <w:multiLevelType w:val="multilevel"/>
    <w:tmpl w:val="68B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35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7A"/>
    <w:rsid w:val="00017659"/>
    <w:rsid w:val="00037036"/>
    <w:rsid w:val="000741D4"/>
    <w:rsid w:val="0007710D"/>
    <w:rsid w:val="000828B9"/>
    <w:rsid w:val="00096F1F"/>
    <w:rsid w:val="00096FBD"/>
    <w:rsid w:val="000A6405"/>
    <w:rsid w:val="000B214A"/>
    <w:rsid w:val="000C4D9A"/>
    <w:rsid w:val="000E14E0"/>
    <w:rsid w:val="000E7439"/>
    <w:rsid w:val="00122F23"/>
    <w:rsid w:val="0014795C"/>
    <w:rsid w:val="00160FE1"/>
    <w:rsid w:val="00161AA8"/>
    <w:rsid w:val="001938B7"/>
    <w:rsid w:val="001B3455"/>
    <w:rsid w:val="001C7CDA"/>
    <w:rsid w:val="001D40DE"/>
    <w:rsid w:val="001F157A"/>
    <w:rsid w:val="00201ACE"/>
    <w:rsid w:val="00210863"/>
    <w:rsid w:val="00252526"/>
    <w:rsid w:val="00255196"/>
    <w:rsid w:val="002B58B7"/>
    <w:rsid w:val="002C7E22"/>
    <w:rsid w:val="002D31DE"/>
    <w:rsid w:val="002F2818"/>
    <w:rsid w:val="00305E55"/>
    <w:rsid w:val="003117CD"/>
    <w:rsid w:val="00313542"/>
    <w:rsid w:val="003368E3"/>
    <w:rsid w:val="003615D1"/>
    <w:rsid w:val="00363572"/>
    <w:rsid w:val="003643BA"/>
    <w:rsid w:val="00376E43"/>
    <w:rsid w:val="00392458"/>
    <w:rsid w:val="00396289"/>
    <w:rsid w:val="0039766F"/>
    <w:rsid w:val="003C46C8"/>
    <w:rsid w:val="003F0FB0"/>
    <w:rsid w:val="003F317C"/>
    <w:rsid w:val="0043747B"/>
    <w:rsid w:val="0049076A"/>
    <w:rsid w:val="004C079A"/>
    <w:rsid w:val="004C241A"/>
    <w:rsid w:val="004C3C96"/>
    <w:rsid w:val="004C45CD"/>
    <w:rsid w:val="0050497D"/>
    <w:rsid w:val="0051273A"/>
    <w:rsid w:val="00564568"/>
    <w:rsid w:val="00626F1F"/>
    <w:rsid w:val="0064066A"/>
    <w:rsid w:val="00640E69"/>
    <w:rsid w:val="00645B7A"/>
    <w:rsid w:val="0065657E"/>
    <w:rsid w:val="00662257"/>
    <w:rsid w:val="006777AE"/>
    <w:rsid w:val="00687C76"/>
    <w:rsid w:val="006C308C"/>
    <w:rsid w:val="007323D4"/>
    <w:rsid w:val="007817E6"/>
    <w:rsid w:val="007870DB"/>
    <w:rsid w:val="007D047D"/>
    <w:rsid w:val="007D0E2A"/>
    <w:rsid w:val="007D1CCB"/>
    <w:rsid w:val="007D7777"/>
    <w:rsid w:val="007D7C49"/>
    <w:rsid w:val="007E68F5"/>
    <w:rsid w:val="00814E82"/>
    <w:rsid w:val="0087006C"/>
    <w:rsid w:val="00875308"/>
    <w:rsid w:val="00875383"/>
    <w:rsid w:val="008816B2"/>
    <w:rsid w:val="00883A4B"/>
    <w:rsid w:val="00883E09"/>
    <w:rsid w:val="008C19DA"/>
    <w:rsid w:val="008E1471"/>
    <w:rsid w:val="008E3022"/>
    <w:rsid w:val="008F40D1"/>
    <w:rsid w:val="00911323"/>
    <w:rsid w:val="00935D44"/>
    <w:rsid w:val="00961F4B"/>
    <w:rsid w:val="00985B3D"/>
    <w:rsid w:val="009A34DB"/>
    <w:rsid w:val="009A7D3E"/>
    <w:rsid w:val="009D163E"/>
    <w:rsid w:val="009F69A9"/>
    <w:rsid w:val="00A279A1"/>
    <w:rsid w:val="00A45805"/>
    <w:rsid w:val="00A470BD"/>
    <w:rsid w:val="00A82C1C"/>
    <w:rsid w:val="00AA08B9"/>
    <w:rsid w:val="00AA0F61"/>
    <w:rsid w:val="00AB282C"/>
    <w:rsid w:val="00AC26AA"/>
    <w:rsid w:val="00AD07E4"/>
    <w:rsid w:val="00AD22F9"/>
    <w:rsid w:val="00AD67CD"/>
    <w:rsid w:val="00B40BC7"/>
    <w:rsid w:val="00B44F2F"/>
    <w:rsid w:val="00B56227"/>
    <w:rsid w:val="00B8068C"/>
    <w:rsid w:val="00BC007B"/>
    <w:rsid w:val="00BC33E2"/>
    <w:rsid w:val="00BE28AE"/>
    <w:rsid w:val="00BF102E"/>
    <w:rsid w:val="00C023D7"/>
    <w:rsid w:val="00C10C7A"/>
    <w:rsid w:val="00C320DE"/>
    <w:rsid w:val="00C46F1A"/>
    <w:rsid w:val="00CA3AD8"/>
    <w:rsid w:val="00CC7523"/>
    <w:rsid w:val="00D04A51"/>
    <w:rsid w:val="00D13E11"/>
    <w:rsid w:val="00D3606A"/>
    <w:rsid w:val="00DC4FA8"/>
    <w:rsid w:val="00DC7E24"/>
    <w:rsid w:val="00DF4612"/>
    <w:rsid w:val="00E0301C"/>
    <w:rsid w:val="00E26F5D"/>
    <w:rsid w:val="00E3794A"/>
    <w:rsid w:val="00E6213C"/>
    <w:rsid w:val="00E716E3"/>
    <w:rsid w:val="00E85ADC"/>
    <w:rsid w:val="00EB0DCD"/>
    <w:rsid w:val="00EE6B68"/>
    <w:rsid w:val="00F04382"/>
    <w:rsid w:val="00F160C5"/>
    <w:rsid w:val="00F40AC3"/>
    <w:rsid w:val="00F50C09"/>
    <w:rsid w:val="00F62EE2"/>
    <w:rsid w:val="00F95171"/>
    <w:rsid w:val="00FA3130"/>
    <w:rsid w:val="00FC1762"/>
    <w:rsid w:val="00FD063C"/>
    <w:rsid w:val="00FD7E74"/>
    <w:rsid w:val="00FF1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109E"/>
  <w15:chartTrackingRefBased/>
  <w15:docId w15:val="{91EC17DD-B742-4306-93A7-450CC5EF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B7A"/>
    <w:pPr>
      <w:spacing w:after="200" w:line="276" w:lineRule="auto"/>
    </w:pPr>
    <w:rPr>
      <w:rFonts w:ascii="Calibri" w:eastAsia="Times New Roman"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6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C1762"/>
    <w:rPr>
      <w:sz w:val="16"/>
      <w:szCs w:val="16"/>
    </w:rPr>
  </w:style>
  <w:style w:type="paragraph" w:styleId="a5">
    <w:name w:val="annotation text"/>
    <w:basedOn w:val="a"/>
    <w:link w:val="a6"/>
    <w:uiPriority w:val="99"/>
    <w:semiHidden/>
    <w:unhideWhenUsed/>
    <w:rsid w:val="00FC1762"/>
    <w:pPr>
      <w:spacing w:line="240" w:lineRule="auto"/>
    </w:pPr>
    <w:rPr>
      <w:sz w:val="20"/>
      <w:szCs w:val="20"/>
    </w:rPr>
  </w:style>
  <w:style w:type="character" w:customStyle="1" w:styleId="a6">
    <w:name w:val="Текст примечания Знак"/>
    <w:basedOn w:val="a0"/>
    <w:link w:val="a5"/>
    <w:uiPriority w:val="99"/>
    <w:semiHidden/>
    <w:rsid w:val="00FC1762"/>
    <w:rPr>
      <w:rFonts w:ascii="Calibri" w:eastAsia="Times New Roman" w:hAnsi="Calibri" w:cs="Times New Roman"/>
      <w:kern w:val="0"/>
      <w:sz w:val="20"/>
      <w:szCs w:val="20"/>
      <w14:ligatures w14:val="none"/>
    </w:rPr>
  </w:style>
  <w:style w:type="paragraph" w:styleId="a7">
    <w:name w:val="annotation subject"/>
    <w:basedOn w:val="a5"/>
    <w:next w:val="a5"/>
    <w:link w:val="a8"/>
    <w:uiPriority w:val="99"/>
    <w:semiHidden/>
    <w:unhideWhenUsed/>
    <w:rsid w:val="00FC1762"/>
    <w:rPr>
      <w:b/>
      <w:bCs/>
    </w:rPr>
  </w:style>
  <w:style w:type="character" w:customStyle="1" w:styleId="a8">
    <w:name w:val="Тема примечания Знак"/>
    <w:basedOn w:val="a6"/>
    <w:link w:val="a7"/>
    <w:uiPriority w:val="99"/>
    <w:semiHidden/>
    <w:rsid w:val="00FC1762"/>
    <w:rPr>
      <w:rFonts w:ascii="Calibri" w:eastAsia="Times New Roman" w:hAnsi="Calibri" w:cs="Times New Roman"/>
      <w:b/>
      <w:bCs/>
      <w:kern w:val="0"/>
      <w:sz w:val="20"/>
      <w:szCs w:val="20"/>
      <w14:ligatures w14:val="none"/>
    </w:rPr>
  </w:style>
  <w:style w:type="character" w:styleId="a9">
    <w:name w:val="Hyperlink"/>
    <w:basedOn w:val="a0"/>
    <w:uiPriority w:val="99"/>
    <w:rsid w:val="00F40AC3"/>
    <w:rPr>
      <w:rFonts w:cs="Times New Roman"/>
      <w:color w:val="0563C1"/>
      <w:u w:val="single"/>
    </w:rPr>
  </w:style>
  <w:style w:type="paragraph" w:styleId="aa">
    <w:name w:val="Normal (Web)"/>
    <w:aliases w:val="Знак2,Обычный (веб)1"/>
    <w:basedOn w:val="a"/>
    <w:uiPriority w:val="99"/>
    <w:rsid w:val="00F40AC3"/>
    <w:pPr>
      <w:spacing w:after="60" w:line="240" w:lineRule="auto"/>
      <w:jc w:val="both"/>
    </w:pPr>
    <w:rPr>
      <w:rFonts w:ascii="Times New Roman" w:hAnsi="Times New Roman"/>
      <w:sz w:val="24"/>
      <w:szCs w:val="24"/>
      <w:lang w:eastAsia="ru-RU"/>
    </w:rPr>
  </w:style>
  <w:style w:type="character" w:styleId="ab">
    <w:name w:val="Strong"/>
    <w:basedOn w:val="a0"/>
    <w:uiPriority w:val="22"/>
    <w:qFormat/>
    <w:rsid w:val="00F40AC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320560" TargetMode="External"/><Relationship Id="rId3" Type="http://schemas.openxmlformats.org/officeDocument/2006/relationships/settings" Target="settings.xml"/><Relationship Id="rId7" Type="http://schemas.openxmlformats.org/officeDocument/2006/relationships/hyperlink" Target="kodeks://link/d?nd=9023203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299529" TargetMode="External"/><Relationship Id="rId5" Type="http://schemas.openxmlformats.org/officeDocument/2006/relationships/hyperlink" Target="kodeks://link/d?nd=4990505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URIS37</dc:creator>
  <cp:keywords/>
  <dc:description/>
  <cp:lastModifiedBy>URIS37</cp:lastModifiedBy>
  <cp:revision>121</cp:revision>
  <dcterms:created xsi:type="dcterms:W3CDTF">2024-02-19T11:21:00Z</dcterms:created>
  <dcterms:modified xsi:type="dcterms:W3CDTF">2024-04-10T10:00:00Z</dcterms:modified>
</cp:coreProperties>
</file>