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ABF" w:rsidRPr="00BA5230" w:rsidRDefault="00BF1ABF" w:rsidP="00BF1ABF">
      <w:pPr>
        <w:tabs>
          <w:tab w:val="left" w:pos="6552"/>
        </w:tabs>
        <w:rPr>
          <w:b/>
          <w:color w:val="000000"/>
          <w:sz w:val="22"/>
          <w:szCs w:val="22"/>
        </w:rPr>
      </w:pPr>
      <w:r w:rsidRPr="00BA5230">
        <w:rPr>
          <w:noProof/>
          <w:sz w:val="22"/>
          <w:szCs w:val="22"/>
        </w:rPr>
        <w:drawing>
          <wp:anchor distT="0" distB="0" distL="114300" distR="114300" simplePos="0" relativeHeight="251660288" behindDoc="0" locked="0" layoutInCell="1" allowOverlap="1">
            <wp:simplePos x="0" y="0"/>
            <wp:positionH relativeFrom="column">
              <wp:posOffset>-99060</wp:posOffset>
            </wp:positionH>
            <wp:positionV relativeFrom="paragraph">
              <wp:posOffset>0</wp:posOffset>
            </wp:positionV>
            <wp:extent cx="744220" cy="828675"/>
            <wp:effectExtent l="19050" t="0" r="0" b="0"/>
            <wp:wrapSquare wrapText="right"/>
            <wp:docPr id="2" name="Рисунок 2" descr="C:\Documents and Settings\777\Рабочий стол\ЛЮБОВЬ Викторовна\Нефтяник_логоти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777\Рабочий стол\ЛЮБОВЬ Викторовна\Нефтяник_логотип.JPG"/>
                    <pic:cNvPicPr>
                      <a:picLocks noChangeAspect="1" noChangeArrowheads="1"/>
                    </pic:cNvPicPr>
                  </pic:nvPicPr>
                  <pic:blipFill>
                    <a:blip r:embed="rId5" r:link="rId6" cstate="print"/>
                    <a:srcRect/>
                    <a:stretch>
                      <a:fillRect/>
                    </a:stretch>
                  </pic:blipFill>
                  <pic:spPr bwMode="auto">
                    <a:xfrm>
                      <a:off x="0" y="0"/>
                      <a:ext cx="744220" cy="828675"/>
                    </a:xfrm>
                    <a:prstGeom prst="rect">
                      <a:avLst/>
                    </a:prstGeom>
                    <a:noFill/>
                  </pic:spPr>
                </pic:pic>
              </a:graphicData>
            </a:graphic>
          </wp:anchor>
        </w:drawing>
      </w:r>
      <w:r w:rsidRPr="00BA5230">
        <w:rPr>
          <w:b/>
          <w:color w:val="000000"/>
          <w:sz w:val="22"/>
          <w:szCs w:val="22"/>
        </w:rPr>
        <w:t xml:space="preserve">                          </w:t>
      </w:r>
      <w:proofErr w:type="gramStart"/>
      <w:r w:rsidRPr="00BA5230">
        <w:rPr>
          <w:b/>
          <w:color w:val="000000"/>
          <w:sz w:val="22"/>
          <w:szCs w:val="22"/>
        </w:rPr>
        <w:t>АКЦИОНЕРНОЕ  ОБЩЕСТВО</w:t>
      </w:r>
      <w:proofErr w:type="gramEnd"/>
    </w:p>
    <w:p w:rsidR="00BF1ABF" w:rsidRPr="00BA5230" w:rsidRDefault="00BF1ABF" w:rsidP="00BF1ABF">
      <w:pPr>
        <w:tabs>
          <w:tab w:val="left" w:pos="6552"/>
        </w:tabs>
        <w:rPr>
          <w:b/>
          <w:color w:val="000000"/>
          <w:sz w:val="22"/>
          <w:szCs w:val="22"/>
        </w:rPr>
      </w:pPr>
      <w:r w:rsidRPr="00BA5230">
        <w:rPr>
          <w:b/>
          <w:color w:val="000000"/>
          <w:sz w:val="22"/>
          <w:szCs w:val="22"/>
        </w:rPr>
        <w:t xml:space="preserve">                     «МЕДИКО-</w:t>
      </w:r>
      <w:proofErr w:type="gramStart"/>
      <w:r w:rsidRPr="00BA5230">
        <w:rPr>
          <w:b/>
          <w:color w:val="000000"/>
          <w:sz w:val="22"/>
          <w:szCs w:val="22"/>
        </w:rPr>
        <w:t>САНИТАРНАЯ  ЧАСТЬ</w:t>
      </w:r>
      <w:proofErr w:type="gramEnd"/>
    </w:p>
    <w:p w:rsidR="00BF1ABF" w:rsidRPr="00BA5230" w:rsidRDefault="00BF1ABF" w:rsidP="00BF1ABF">
      <w:pPr>
        <w:tabs>
          <w:tab w:val="left" w:pos="6552"/>
        </w:tabs>
        <w:rPr>
          <w:b/>
          <w:color w:val="000000"/>
          <w:sz w:val="22"/>
          <w:szCs w:val="22"/>
        </w:rPr>
      </w:pPr>
      <w:r w:rsidRPr="00BA5230">
        <w:rPr>
          <w:b/>
          <w:color w:val="000000"/>
          <w:sz w:val="22"/>
          <w:szCs w:val="22"/>
        </w:rPr>
        <w:t xml:space="preserve">                             «НЕФТЯНИК»</w:t>
      </w:r>
    </w:p>
    <w:p w:rsidR="00BF1ABF" w:rsidRPr="00BA5230" w:rsidRDefault="00BF1ABF" w:rsidP="00BF1ABF">
      <w:pPr>
        <w:tabs>
          <w:tab w:val="left" w:pos="6552"/>
        </w:tabs>
        <w:rPr>
          <w:color w:val="000000"/>
          <w:sz w:val="22"/>
          <w:szCs w:val="22"/>
        </w:rPr>
      </w:pPr>
    </w:p>
    <w:p w:rsidR="00BF1ABF" w:rsidRPr="00BA5230" w:rsidRDefault="00BF1ABF" w:rsidP="00BF1ABF">
      <w:pPr>
        <w:tabs>
          <w:tab w:val="left" w:pos="6552"/>
        </w:tabs>
        <w:rPr>
          <w:color w:val="000000"/>
          <w:sz w:val="22"/>
          <w:szCs w:val="22"/>
        </w:rPr>
      </w:pPr>
      <w:r w:rsidRPr="00BA5230">
        <w:rPr>
          <w:color w:val="000000"/>
          <w:sz w:val="22"/>
          <w:szCs w:val="22"/>
        </w:rPr>
        <w:t xml:space="preserve">а/я 902, г.Тюмень, 625000                              </w:t>
      </w:r>
      <w:r w:rsidR="00BA5230">
        <w:rPr>
          <w:color w:val="000000"/>
          <w:sz w:val="22"/>
          <w:szCs w:val="22"/>
        </w:rPr>
        <w:t xml:space="preserve">                             </w:t>
      </w:r>
      <w:r w:rsidRPr="00BA5230">
        <w:rPr>
          <w:color w:val="000000"/>
          <w:sz w:val="22"/>
          <w:szCs w:val="22"/>
        </w:rPr>
        <w:t xml:space="preserve">Телефон (3452) 463-291 </w:t>
      </w:r>
    </w:p>
    <w:p w:rsidR="00BF1ABF" w:rsidRPr="00BA5230" w:rsidRDefault="00BF1ABF" w:rsidP="00BF1ABF">
      <w:pPr>
        <w:tabs>
          <w:tab w:val="left" w:pos="6552"/>
        </w:tabs>
        <w:rPr>
          <w:color w:val="000000"/>
          <w:sz w:val="22"/>
          <w:szCs w:val="22"/>
        </w:rPr>
      </w:pPr>
      <w:proofErr w:type="gramStart"/>
      <w:r w:rsidRPr="00BA5230">
        <w:rPr>
          <w:color w:val="000000"/>
          <w:sz w:val="22"/>
          <w:szCs w:val="22"/>
          <w:lang w:val="en-US"/>
        </w:rPr>
        <w:t>E</w:t>
      </w:r>
      <w:r w:rsidRPr="00BA5230">
        <w:rPr>
          <w:color w:val="000000"/>
          <w:sz w:val="22"/>
          <w:szCs w:val="22"/>
        </w:rPr>
        <w:t>-</w:t>
      </w:r>
      <w:r w:rsidRPr="00BA5230">
        <w:rPr>
          <w:color w:val="000000"/>
          <w:sz w:val="22"/>
          <w:szCs w:val="22"/>
          <w:lang w:val="en-US"/>
        </w:rPr>
        <w:t>mail</w:t>
      </w:r>
      <w:r w:rsidRPr="00BA5230">
        <w:rPr>
          <w:color w:val="000000"/>
          <w:sz w:val="22"/>
          <w:szCs w:val="22"/>
        </w:rPr>
        <w:t>:</w:t>
      </w:r>
      <w:proofErr w:type="spellStart"/>
      <w:r w:rsidRPr="00BA5230">
        <w:rPr>
          <w:color w:val="000000"/>
          <w:sz w:val="22"/>
          <w:szCs w:val="22"/>
          <w:lang w:val="en-US"/>
        </w:rPr>
        <w:t>medtng</w:t>
      </w:r>
      <w:proofErr w:type="spellEnd"/>
      <w:r w:rsidRPr="00BA5230">
        <w:rPr>
          <w:color w:val="000000"/>
          <w:sz w:val="22"/>
          <w:szCs w:val="22"/>
        </w:rPr>
        <w:t>@</w:t>
      </w:r>
      <w:r w:rsidRPr="00BA5230">
        <w:rPr>
          <w:color w:val="000000"/>
          <w:sz w:val="22"/>
          <w:szCs w:val="22"/>
          <w:lang w:val="en-US"/>
        </w:rPr>
        <w:t>mail</w:t>
      </w:r>
      <w:r w:rsidRPr="00BA5230">
        <w:rPr>
          <w:color w:val="000000"/>
          <w:sz w:val="22"/>
          <w:szCs w:val="22"/>
        </w:rPr>
        <w:t>.</w:t>
      </w:r>
      <w:proofErr w:type="spellStart"/>
      <w:r w:rsidRPr="00BA5230">
        <w:rPr>
          <w:color w:val="000000"/>
          <w:sz w:val="22"/>
          <w:szCs w:val="22"/>
          <w:lang w:val="en-US"/>
        </w:rPr>
        <w:t>ru</w:t>
      </w:r>
      <w:proofErr w:type="spellEnd"/>
      <w:proofErr w:type="gramEnd"/>
      <w:r w:rsidRPr="00BA5230">
        <w:rPr>
          <w:color w:val="000000"/>
          <w:sz w:val="22"/>
          <w:szCs w:val="22"/>
        </w:rPr>
        <w:t xml:space="preserve">                                            </w:t>
      </w:r>
      <w:r w:rsidR="00BA5230">
        <w:rPr>
          <w:color w:val="000000"/>
          <w:sz w:val="22"/>
          <w:szCs w:val="22"/>
        </w:rPr>
        <w:t xml:space="preserve">                               </w:t>
      </w:r>
      <w:r w:rsidRPr="00BA5230">
        <w:rPr>
          <w:color w:val="000000"/>
          <w:sz w:val="22"/>
          <w:szCs w:val="22"/>
        </w:rPr>
        <w:t xml:space="preserve"> д.   (1168)</w:t>
      </w:r>
    </w:p>
    <w:p w:rsidR="00BF1ABF" w:rsidRPr="00BA5230" w:rsidRDefault="00BF1ABF" w:rsidP="00BF1ABF">
      <w:pPr>
        <w:tabs>
          <w:tab w:val="left" w:pos="6552"/>
        </w:tabs>
        <w:rPr>
          <w:color w:val="000000"/>
          <w:sz w:val="22"/>
          <w:szCs w:val="22"/>
        </w:rPr>
      </w:pPr>
      <w:r w:rsidRPr="00BA5230">
        <w:rPr>
          <w:color w:val="000000"/>
          <w:sz w:val="22"/>
          <w:szCs w:val="22"/>
        </w:rPr>
        <w:t>ИНН 7202086042, КПП 720301001</w:t>
      </w:r>
    </w:p>
    <w:p w:rsidR="00BF1ABF" w:rsidRPr="00BA5230" w:rsidRDefault="00BF1ABF" w:rsidP="00BF1ABF">
      <w:pPr>
        <w:rPr>
          <w:color w:val="000000"/>
          <w:sz w:val="22"/>
          <w:szCs w:val="22"/>
        </w:rPr>
      </w:pPr>
      <w:r w:rsidRPr="00BA5230">
        <w:rPr>
          <w:color w:val="000000"/>
          <w:sz w:val="22"/>
          <w:szCs w:val="22"/>
        </w:rPr>
        <w:t>_______________________________________________________________________</w:t>
      </w:r>
    </w:p>
    <w:p w:rsidR="00BF1ABF" w:rsidRPr="00BA5230" w:rsidRDefault="00BF1ABF" w:rsidP="00BF1ABF">
      <w:pPr>
        <w:rPr>
          <w:sz w:val="22"/>
          <w:szCs w:val="22"/>
        </w:rPr>
      </w:pPr>
    </w:p>
    <w:p w:rsidR="00BF1ABF" w:rsidRPr="00BA5230" w:rsidRDefault="00BF1ABF" w:rsidP="00BF1ABF">
      <w:pPr>
        <w:rPr>
          <w:sz w:val="22"/>
          <w:szCs w:val="22"/>
        </w:rPr>
      </w:pPr>
    </w:p>
    <w:p w:rsidR="00BF1ABF" w:rsidRPr="00D849A2" w:rsidRDefault="00BF1ABF" w:rsidP="00BF1ABF">
      <w:pPr>
        <w:tabs>
          <w:tab w:val="left" w:pos="2880"/>
        </w:tabs>
        <w:jc w:val="center"/>
        <w:rPr>
          <w:sz w:val="28"/>
          <w:szCs w:val="28"/>
        </w:rPr>
      </w:pPr>
      <w:r w:rsidRPr="00D849A2">
        <w:rPr>
          <w:sz w:val="28"/>
          <w:szCs w:val="28"/>
        </w:rPr>
        <w:t>Разъяснения</w:t>
      </w:r>
    </w:p>
    <w:p w:rsidR="00D849A2" w:rsidRPr="00D849A2" w:rsidRDefault="00D849A2" w:rsidP="00D849A2">
      <w:pPr>
        <w:tabs>
          <w:tab w:val="left" w:pos="2880"/>
        </w:tabs>
        <w:rPr>
          <w:sz w:val="28"/>
          <w:szCs w:val="28"/>
        </w:rPr>
      </w:pPr>
      <w:r w:rsidRPr="00D849A2">
        <w:rPr>
          <w:sz w:val="28"/>
          <w:szCs w:val="28"/>
        </w:rPr>
        <w:t>№ запроса 166</w:t>
      </w:r>
      <w:r w:rsidR="00A90606">
        <w:rPr>
          <w:sz w:val="28"/>
          <w:szCs w:val="28"/>
        </w:rPr>
        <w:t>1</w:t>
      </w:r>
    </w:p>
    <w:p w:rsidR="00D849A2" w:rsidRDefault="00D849A2" w:rsidP="00BF1ABF">
      <w:pPr>
        <w:tabs>
          <w:tab w:val="left" w:pos="2880"/>
        </w:tabs>
        <w:jc w:val="center"/>
        <w:rPr>
          <w:sz w:val="22"/>
          <w:szCs w:val="22"/>
        </w:rPr>
      </w:pPr>
    </w:p>
    <w:p w:rsidR="00A90606" w:rsidRPr="00A90606" w:rsidRDefault="00A90606" w:rsidP="00A90606">
      <w:pPr>
        <w:ind w:left="108" w:firstLine="142"/>
        <w:jc w:val="both"/>
        <w:rPr>
          <w:bCs/>
          <w:color w:val="000000"/>
          <w:sz w:val="28"/>
          <w:szCs w:val="28"/>
        </w:rPr>
      </w:pPr>
      <w:r w:rsidRPr="00A90606">
        <w:rPr>
          <w:bCs/>
          <w:color w:val="000000"/>
          <w:sz w:val="28"/>
          <w:szCs w:val="28"/>
        </w:rPr>
        <w:t>разъяснения для закупки № 32616491724</w:t>
      </w:r>
    </w:p>
    <w:p w:rsidR="00A90606" w:rsidRPr="00A90606" w:rsidRDefault="00A90606" w:rsidP="00A90606">
      <w:pPr>
        <w:ind w:left="108" w:firstLine="142"/>
        <w:jc w:val="both"/>
        <w:rPr>
          <w:bCs/>
          <w:color w:val="000000"/>
          <w:sz w:val="28"/>
          <w:szCs w:val="28"/>
        </w:rPr>
      </w:pPr>
      <w:r w:rsidRPr="00A90606">
        <w:rPr>
          <w:bCs/>
          <w:color w:val="000000"/>
          <w:sz w:val="28"/>
          <w:szCs w:val="28"/>
        </w:rPr>
        <w:t>Уважаемый заказчик!</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         1) В Техническом задании в п. 16 вами заявлен: «шприц 30 мл с иглой 0,9*38мм», а в описании стоит размер иглы 18 G. </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       Просим заказчика разъяснить, возможна ли поставка данных шприцев с иглой 18 G (0,2*40мм).</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      Если возможна, то просим внести изменения в Техническое задание.</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2) В Техническом задании указаны шприцы с наличием безопасного механизма и возможности соединения с насосами марки </w:t>
      </w:r>
      <w:proofErr w:type="spellStart"/>
      <w:r w:rsidRPr="00A90606">
        <w:rPr>
          <w:bCs/>
          <w:color w:val="000000"/>
          <w:sz w:val="28"/>
          <w:szCs w:val="28"/>
        </w:rPr>
        <w:t>Перфузор</w:t>
      </w:r>
      <w:proofErr w:type="spellEnd"/>
      <w:r w:rsidRPr="00A90606">
        <w:rPr>
          <w:bCs/>
          <w:color w:val="000000"/>
          <w:sz w:val="28"/>
          <w:szCs w:val="28"/>
        </w:rPr>
        <w:t>.</w:t>
      </w:r>
    </w:p>
    <w:p w:rsidR="00A90606" w:rsidRPr="00A90606" w:rsidRDefault="00A90606" w:rsidP="00A90606">
      <w:pPr>
        <w:ind w:left="108" w:firstLine="142"/>
        <w:jc w:val="both"/>
        <w:rPr>
          <w:bCs/>
          <w:color w:val="000000"/>
          <w:sz w:val="28"/>
          <w:szCs w:val="28"/>
        </w:rPr>
      </w:pPr>
    </w:p>
    <w:p w:rsidR="00A90606" w:rsidRPr="00A90606" w:rsidRDefault="00A90606" w:rsidP="00A90606">
      <w:pPr>
        <w:ind w:left="108" w:firstLine="142"/>
        <w:jc w:val="both"/>
        <w:rPr>
          <w:bCs/>
          <w:color w:val="000000"/>
          <w:sz w:val="28"/>
          <w:szCs w:val="28"/>
        </w:rPr>
      </w:pPr>
      <w:r w:rsidRPr="00A90606">
        <w:rPr>
          <w:bCs/>
          <w:color w:val="000000"/>
          <w:sz w:val="28"/>
          <w:szCs w:val="28"/>
        </w:rPr>
        <w:t>Обращаем внимание, что запрашиваемые товары, не зарегистрирована на территории РФ, указанные в пунктах 6,13, 14, 15,17 имеются исключительно иностранного происхождения.</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         Таким образом, ограничения на поставку товаров иностранного производства де-факто не могут быть реализованы, а положения Постановления Правительства РФ, направленные на поддержку отечественных производителей, Заказчиком не учитываются.</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Наличие в составе лота товара, который производится только зарубежным производителем, не позволяет предложить продукцию, страной происхождения которой являются, в том числе государства - члены Евразийского экономического союза и, как следствие, не позволяет применить ограничения, предусмотренные Постановлением Правительства РФ о мерах по предоставлению национального режима от 23.12.2024 № 1875, что в свою очередь приводит к нарушению национального режима. </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        Формирование лотов (по группам, классам, видам и иным единицам), а также определение их содержания (с обязательным указанием отдельных условий оказания соответствующих услуг), является правом заказчика, однако подобное объединение не должно входить в противоречие с общими принципами Закона о контрактной системе, в том числе в части конкуренции, применения национального режима.  </w:t>
      </w:r>
    </w:p>
    <w:p w:rsidR="00A90606" w:rsidRPr="00A90606" w:rsidRDefault="00A90606" w:rsidP="00A90606">
      <w:pPr>
        <w:ind w:left="108" w:firstLine="142"/>
        <w:jc w:val="both"/>
        <w:rPr>
          <w:bCs/>
          <w:color w:val="000000"/>
          <w:sz w:val="28"/>
          <w:szCs w:val="28"/>
        </w:rPr>
      </w:pPr>
      <w:r w:rsidRPr="00A90606">
        <w:rPr>
          <w:bCs/>
          <w:color w:val="000000"/>
          <w:sz w:val="28"/>
          <w:szCs w:val="28"/>
        </w:rPr>
        <w:t>Таким образом, Заказчиком допущены нарушения статьи 8, пункта 2 статьи 42, пункта 1 части 1 статьи 33, пункта 1 части 1 статьи 64 Закона о контрактной системе.</w:t>
      </w:r>
    </w:p>
    <w:p w:rsidR="00A90606" w:rsidRPr="00A90606" w:rsidRDefault="00A90606" w:rsidP="00A90606">
      <w:pPr>
        <w:ind w:left="108" w:firstLine="142"/>
        <w:jc w:val="both"/>
        <w:rPr>
          <w:bCs/>
          <w:color w:val="000000"/>
          <w:sz w:val="28"/>
          <w:szCs w:val="28"/>
        </w:rPr>
      </w:pPr>
    </w:p>
    <w:p w:rsidR="00A90606" w:rsidRPr="00A90606" w:rsidRDefault="00A90606" w:rsidP="00A90606">
      <w:pPr>
        <w:ind w:left="108" w:firstLine="142"/>
        <w:jc w:val="both"/>
        <w:rPr>
          <w:bCs/>
          <w:color w:val="000000"/>
          <w:sz w:val="28"/>
          <w:szCs w:val="28"/>
        </w:rPr>
      </w:pPr>
      <w:r w:rsidRPr="00A90606">
        <w:rPr>
          <w:bCs/>
          <w:color w:val="000000"/>
          <w:sz w:val="28"/>
          <w:szCs w:val="28"/>
        </w:rPr>
        <w:lastRenderedPageBreak/>
        <w:t xml:space="preserve">        Учитывая вышеизложенное, просим Вас привести документацию об электронном аукционе (реестровый номер 32616491724) на поставку расходного материала в соответствие с требованиями Закона о контрактной системе, с учетом положений Постановления Правительства РФ о мерах по предоставлению национального режима от 23.12.2024 № 1875, путем исключения позиций № 10,11,12 объекта закупки из рассматриваемого аукциона в отдельный лот, которые влекут за собой умышленное ограничение конкуренции, а также не позволяют российским производителям  участвовать в определении поставщика.</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     Отдельно стоит отметить, что при наличии обоснованной необходимости в приобретении данной продукции Заказчик не ограничен в возможности осуществить такую закупку в рамках отдельного лота. </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          В случае уклонения Заказчика от выполнения требований действующего законодательства участник закупки оставляет за собой право обратиться в УФАС России в целях проведения внеплановой проверки</w:t>
      </w:r>
    </w:p>
    <w:p w:rsidR="00A90606" w:rsidRPr="00A90606" w:rsidRDefault="00A90606" w:rsidP="00A90606">
      <w:pPr>
        <w:ind w:left="108" w:firstLine="142"/>
        <w:jc w:val="both"/>
        <w:rPr>
          <w:bCs/>
          <w:color w:val="000000"/>
          <w:sz w:val="28"/>
          <w:szCs w:val="28"/>
        </w:rPr>
      </w:pPr>
    </w:p>
    <w:p w:rsidR="00A90606" w:rsidRPr="00A90606" w:rsidRDefault="00A90606" w:rsidP="00A90606">
      <w:pPr>
        <w:ind w:left="108" w:firstLine="142"/>
        <w:jc w:val="both"/>
        <w:rPr>
          <w:bCs/>
          <w:color w:val="000000"/>
          <w:sz w:val="28"/>
          <w:szCs w:val="28"/>
        </w:rPr>
      </w:pPr>
    </w:p>
    <w:p w:rsidR="00A90606" w:rsidRPr="00A90606" w:rsidRDefault="00A90606" w:rsidP="00A90606">
      <w:pPr>
        <w:ind w:left="108" w:firstLine="142"/>
        <w:jc w:val="both"/>
        <w:rPr>
          <w:bCs/>
          <w:color w:val="000000"/>
          <w:sz w:val="28"/>
          <w:szCs w:val="28"/>
        </w:rPr>
      </w:pPr>
      <w:r w:rsidRPr="00A90606">
        <w:rPr>
          <w:bCs/>
          <w:color w:val="000000"/>
          <w:sz w:val="28"/>
          <w:szCs w:val="28"/>
        </w:rPr>
        <w:t>3) Считаем извещение противоречащим действующему законодательству ввиду следующего:</w:t>
      </w:r>
    </w:p>
    <w:p w:rsidR="00A90606" w:rsidRPr="00A90606" w:rsidRDefault="00A90606" w:rsidP="00A90606">
      <w:pPr>
        <w:ind w:left="108" w:firstLine="142"/>
        <w:jc w:val="both"/>
        <w:rPr>
          <w:bCs/>
          <w:color w:val="000000"/>
          <w:sz w:val="28"/>
          <w:szCs w:val="28"/>
        </w:rPr>
      </w:pPr>
      <w:r w:rsidRPr="00A90606">
        <w:rPr>
          <w:bCs/>
          <w:color w:val="000000"/>
          <w:sz w:val="28"/>
          <w:szCs w:val="28"/>
        </w:rPr>
        <w:t>Начальная максимальная цена за единицу медицинского изделия установлена в размере 2,94 рублей; 3,07 рублей; 3,20 руб., 4,80 руб., 7,87 руб. и т.д. за единицу.</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Согласно решению Совета ЕЭК от 17.03.2022 № 37 до 30.09.2022 г. отменены пошлины на некоторые ввозимые из-за границы товары, в том числе на системы </w:t>
      </w:r>
      <w:proofErr w:type="spellStart"/>
      <w:r w:rsidRPr="00A90606">
        <w:rPr>
          <w:bCs/>
          <w:color w:val="000000"/>
          <w:sz w:val="28"/>
          <w:szCs w:val="28"/>
        </w:rPr>
        <w:t>трансфузионные</w:t>
      </w:r>
      <w:proofErr w:type="spellEnd"/>
      <w:r w:rsidRPr="00A90606">
        <w:rPr>
          <w:bCs/>
          <w:color w:val="000000"/>
          <w:sz w:val="28"/>
          <w:szCs w:val="28"/>
        </w:rPr>
        <w:t xml:space="preserve">, системы </w:t>
      </w:r>
      <w:proofErr w:type="spellStart"/>
      <w:r w:rsidRPr="00A90606">
        <w:rPr>
          <w:bCs/>
          <w:color w:val="000000"/>
          <w:sz w:val="28"/>
          <w:szCs w:val="28"/>
        </w:rPr>
        <w:t>инфузионные</w:t>
      </w:r>
      <w:proofErr w:type="spellEnd"/>
      <w:r w:rsidRPr="00A90606">
        <w:rPr>
          <w:bCs/>
          <w:color w:val="000000"/>
          <w:sz w:val="28"/>
          <w:szCs w:val="28"/>
        </w:rPr>
        <w:t xml:space="preserve"> и на шприцы общего назначения. Ввиду этого в настоящий момент на территорию Российской Федерации беспрепятственно осуществляется ввоз медицинских изделий по цене значительно ниже рыночной.</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Постановлением Правительства РФ от 08.07.2022 № 1220 «О признании утратившими силу отдельных положений некоторых актов Правительства Российской Федерации» пункт 2(3) постановления Правительства Российской Федерации от 5 февраля 2015 г. №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в соответствии с которым  начальная цена контракта определялась  в соответствии с методикой, утвержденной Министерством здравоохранения Российской Федерации совместно с Министерством промышленности и торговли Российской Федерации, с 01.08.2022 признан утратившим силу. Ввиду этого заказчиками в соответствии с Постановлением Правительства №102 соблюдались ограничения и условия допуска товаров происходящий из иностранных государств, тем самым реализовывая меры поддержки отечественных производителей. </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В рамках Приказа Министерства экономического развития РФ от 2 октября 2013 г. № 567 определено 5 методов обоснования НМЦК, приоритетным из </w:t>
      </w:r>
      <w:r w:rsidRPr="00A90606">
        <w:rPr>
          <w:bCs/>
          <w:color w:val="000000"/>
          <w:sz w:val="28"/>
          <w:szCs w:val="28"/>
        </w:rPr>
        <w:lastRenderedPageBreak/>
        <w:t xml:space="preserve">которых является метод сопоставимых рыночных цен. В рамках методологии определено, что заказчик для определения НМЦК придерживается среднего уровня цены. </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В настоящий момент импортные медицинские изделия ввозятся на территорию Российской Федерации без какие каких-либо ограничений и по цене значительно ниже рыночной. </w:t>
      </w:r>
    </w:p>
    <w:p w:rsidR="00A90606" w:rsidRPr="00A90606" w:rsidRDefault="00A90606" w:rsidP="00A90606">
      <w:pPr>
        <w:ind w:left="108" w:firstLine="142"/>
        <w:jc w:val="both"/>
        <w:rPr>
          <w:bCs/>
          <w:color w:val="000000"/>
          <w:sz w:val="28"/>
          <w:szCs w:val="28"/>
        </w:rPr>
      </w:pPr>
      <w:r w:rsidRPr="00A90606">
        <w:rPr>
          <w:bCs/>
          <w:color w:val="000000"/>
          <w:sz w:val="28"/>
          <w:szCs w:val="28"/>
        </w:rPr>
        <w:t>Указанное обстоятельство подтверждается обоснованием НМЦК, в котором содержится информация об исполнении контрактов на поставку аналогичных товаров. При этом по двум из трех контрактов предметом поставки являлись товары, происходящие из Китайской Народной Республики, и по цене за единицу значительно ниже товаров, происходящих из государств – членов ЕАЭС.</w:t>
      </w:r>
    </w:p>
    <w:p w:rsidR="00A90606" w:rsidRPr="00A90606" w:rsidRDefault="00A90606" w:rsidP="00A90606">
      <w:pPr>
        <w:ind w:left="108" w:firstLine="142"/>
        <w:jc w:val="both"/>
        <w:rPr>
          <w:bCs/>
          <w:color w:val="000000"/>
          <w:sz w:val="28"/>
          <w:szCs w:val="28"/>
        </w:rPr>
      </w:pPr>
      <w:r w:rsidRPr="00A90606">
        <w:rPr>
          <w:bCs/>
          <w:color w:val="000000"/>
          <w:sz w:val="28"/>
          <w:szCs w:val="28"/>
        </w:rPr>
        <w:t>В свою очередь поставка шприцев общего назначения отечественного производства, становится фактически невозможной, из-за более высокой себестоимости производства медицинского изделия изначально.</w:t>
      </w:r>
    </w:p>
    <w:p w:rsidR="00A90606" w:rsidRPr="00A90606" w:rsidRDefault="00A90606" w:rsidP="00A90606">
      <w:pPr>
        <w:ind w:left="108" w:firstLine="142"/>
        <w:jc w:val="both"/>
        <w:rPr>
          <w:bCs/>
          <w:color w:val="000000"/>
          <w:sz w:val="28"/>
          <w:szCs w:val="28"/>
        </w:rPr>
      </w:pPr>
      <w:r w:rsidRPr="00A90606">
        <w:rPr>
          <w:bCs/>
          <w:color w:val="000000"/>
          <w:sz w:val="28"/>
          <w:szCs w:val="28"/>
        </w:rPr>
        <w:t>В силу п. 1 ч. 2. ст. 14 Закона о контрактной системе Правительство Российской Федерации вправе с учетом положений части 3 настоящей статьи принимать меры, устанавливающие:</w:t>
      </w:r>
    </w:p>
    <w:p w:rsidR="00A90606" w:rsidRPr="00A90606" w:rsidRDefault="00A90606" w:rsidP="00A90606">
      <w:pPr>
        <w:ind w:left="108" w:firstLine="142"/>
        <w:jc w:val="both"/>
        <w:rPr>
          <w:bCs/>
          <w:color w:val="000000"/>
          <w:sz w:val="28"/>
          <w:szCs w:val="28"/>
        </w:rPr>
      </w:pPr>
    </w:p>
    <w:p w:rsidR="00A90606" w:rsidRPr="00A90606" w:rsidRDefault="00A90606" w:rsidP="00A90606">
      <w:pPr>
        <w:ind w:left="108" w:firstLine="142"/>
        <w:jc w:val="both"/>
        <w:rPr>
          <w:bCs/>
          <w:color w:val="000000"/>
          <w:sz w:val="28"/>
          <w:szCs w:val="28"/>
        </w:rPr>
      </w:pPr>
      <w:r w:rsidRPr="00A90606">
        <w:rPr>
          <w:bCs/>
          <w:color w:val="000000"/>
          <w:sz w:val="28"/>
          <w:szCs w:val="28"/>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A90606" w:rsidRPr="00A90606" w:rsidRDefault="00A90606" w:rsidP="00A90606">
      <w:pPr>
        <w:ind w:left="108" w:firstLine="142"/>
        <w:jc w:val="both"/>
        <w:rPr>
          <w:bCs/>
          <w:color w:val="000000"/>
          <w:sz w:val="28"/>
          <w:szCs w:val="28"/>
        </w:rPr>
      </w:pPr>
      <w:r w:rsidRPr="00A90606">
        <w:rPr>
          <w:bCs/>
          <w:color w:val="000000"/>
          <w:sz w:val="28"/>
          <w:szCs w:val="28"/>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A90606" w:rsidRPr="00A90606" w:rsidRDefault="00A90606" w:rsidP="00A90606">
      <w:pPr>
        <w:ind w:left="108" w:firstLine="142"/>
        <w:jc w:val="both"/>
        <w:rPr>
          <w:bCs/>
          <w:color w:val="000000"/>
          <w:sz w:val="28"/>
          <w:szCs w:val="28"/>
        </w:rPr>
      </w:pPr>
      <w:r w:rsidRPr="00A90606">
        <w:rPr>
          <w:bCs/>
          <w:color w:val="000000"/>
          <w:sz w:val="28"/>
          <w:szCs w:val="28"/>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A90606" w:rsidRPr="00A90606" w:rsidRDefault="00A90606" w:rsidP="00A90606">
      <w:pPr>
        <w:ind w:left="108" w:firstLine="142"/>
        <w:jc w:val="both"/>
        <w:rPr>
          <w:bCs/>
          <w:color w:val="000000"/>
          <w:sz w:val="28"/>
          <w:szCs w:val="28"/>
        </w:rPr>
      </w:pPr>
      <w:r w:rsidRPr="00A90606">
        <w:rPr>
          <w:bCs/>
          <w:color w:val="000000"/>
          <w:sz w:val="28"/>
          <w:szCs w:val="28"/>
        </w:rPr>
        <w:t>В развитие данной нормы закона о контрактной системе утверждено Постановление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этом в отношении медицинских изделий, входящих в предмет настоящей закупки, установлены ограничения на закупки товаров (в том числе поставляемых при выполнении закупаемых работ, оказании закупаемых услуг), происходящих из иностранных государств.</w:t>
      </w:r>
    </w:p>
    <w:p w:rsidR="00A90606" w:rsidRPr="00A90606" w:rsidRDefault="00A90606" w:rsidP="00A90606">
      <w:pPr>
        <w:ind w:left="108" w:firstLine="142"/>
        <w:jc w:val="both"/>
        <w:rPr>
          <w:bCs/>
          <w:color w:val="000000"/>
          <w:sz w:val="28"/>
          <w:szCs w:val="28"/>
        </w:rPr>
      </w:pPr>
      <w:r w:rsidRPr="00A90606">
        <w:rPr>
          <w:bCs/>
          <w:color w:val="000000"/>
          <w:sz w:val="28"/>
          <w:szCs w:val="28"/>
        </w:rPr>
        <w:t xml:space="preserve">Ввиду всего выше указанного считаем, что примененная начальная/максимальная цена контракта не соответствует критериям установленным Постановлением Правительством № 1875, а также в рамках данной процедуры не могут быть реализованы положения ст. 14 закона о </w:t>
      </w:r>
      <w:r w:rsidRPr="00A90606">
        <w:rPr>
          <w:bCs/>
          <w:color w:val="000000"/>
          <w:sz w:val="28"/>
          <w:szCs w:val="28"/>
        </w:rPr>
        <w:lastRenderedPageBreak/>
        <w:t>контрактной системе.</w:t>
      </w:r>
    </w:p>
    <w:p w:rsidR="00D849A2" w:rsidRPr="00D849A2" w:rsidRDefault="00A90606" w:rsidP="00A90606">
      <w:pPr>
        <w:ind w:left="108" w:firstLine="142"/>
        <w:jc w:val="both"/>
        <w:rPr>
          <w:bCs/>
          <w:sz w:val="28"/>
          <w:szCs w:val="28"/>
        </w:rPr>
      </w:pPr>
      <w:r w:rsidRPr="00A90606">
        <w:rPr>
          <w:bCs/>
          <w:color w:val="000000"/>
          <w:sz w:val="28"/>
          <w:szCs w:val="28"/>
        </w:rPr>
        <w:t>В этой связи убедительно просим учитывать интересы отечественных производителей и поставщиков медицинских изделий при определении НМЦК и сформировать её (пересмотреть) с учетом рыночных цен идентичных товаров, происходящих из Российской Федерации и стран ЕАЭС.</w:t>
      </w:r>
    </w:p>
    <w:p w:rsidR="00D849A2" w:rsidRPr="0065276B" w:rsidRDefault="00D849A2" w:rsidP="00D849A2">
      <w:pPr>
        <w:ind w:left="425" w:right="403"/>
        <w:contextualSpacing/>
        <w:jc w:val="both"/>
        <w:rPr>
          <w:bCs/>
          <w:sz w:val="22"/>
          <w:szCs w:val="22"/>
        </w:rPr>
      </w:pPr>
    </w:p>
    <w:p w:rsidR="00D849A2" w:rsidRDefault="00D849A2" w:rsidP="00D849A2">
      <w:pPr>
        <w:rPr>
          <w:sz w:val="28"/>
          <w:szCs w:val="24"/>
        </w:rPr>
      </w:pPr>
      <w:r w:rsidRPr="00771A40">
        <w:rPr>
          <w:sz w:val="28"/>
          <w:szCs w:val="24"/>
          <w:highlight w:val="yellow"/>
        </w:rPr>
        <w:t>Уважаемый участник закупки!</w:t>
      </w:r>
    </w:p>
    <w:p w:rsidR="00814863" w:rsidRPr="00771A40" w:rsidRDefault="00814863" w:rsidP="00814863">
      <w:pPr>
        <w:pStyle w:val="paragraph-styledstyledparagraph-sc-a650b026-0"/>
      </w:pPr>
      <w:r w:rsidRPr="00771A40">
        <w:rPr>
          <w:b/>
          <w:bCs/>
        </w:rPr>
        <w:t>1. По вопросу характеристик иглы в п. 16 Технического задания (соотношение 18 G, 0,9х38 мм и 0,2х40 мм):</w:t>
      </w:r>
      <w:r w:rsidRPr="00771A40">
        <w:t xml:space="preserve"> Заказчик сообщает, что в описании объекта закупки допущена техническая опечатка. Требуемому размеру иглы соответствует калибр 20</w:t>
      </w:r>
      <w:r w:rsidRPr="00771A40">
        <w:rPr>
          <w:lang w:val="en-US"/>
        </w:rPr>
        <w:t>G</w:t>
      </w:r>
      <w:r w:rsidRPr="00771A40">
        <w:t xml:space="preserve"> – 0.9 </w:t>
      </w:r>
      <w:r w:rsidRPr="00771A40">
        <w:rPr>
          <w:b/>
          <w:bCs/>
        </w:rPr>
        <w:t>мм</w:t>
      </w:r>
      <w:r w:rsidRPr="00771A40">
        <w:t>, а не 18</w:t>
      </w:r>
      <w:r w:rsidRPr="00771A40">
        <w:rPr>
          <w:lang w:val="en-US"/>
        </w:rPr>
        <w:t>G</w:t>
      </w:r>
      <w:r w:rsidRPr="00771A40">
        <w:t>. Внесение изменений в Техническое задание в части сужения характеристик до 0,2х40 мм не планируется</w:t>
      </w:r>
      <w:bookmarkStart w:id="0" w:name="_GoBack"/>
      <w:bookmarkEnd w:id="0"/>
      <w:r w:rsidRPr="00771A40">
        <w:t xml:space="preserve">. Для устранения двусмысленности Заказчик внесет изменения в документацию, уточнив в п. 16 единственно верный параметр: </w:t>
      </w:r>
      <w:r w:rsidRPr="00771A40">
        <w:rPr>
          <w:b/>
          <w:bCs/>
        </w:rPr>
        <w:t>«Калибр 20G (наружный диаметр 0,9 мм), длина 38 мм»</w:t>
      </w:r>
      <w:r w:rsidRPr="00771A40">
        <w:t>.</w:t>
      </w:r>
    </w:p>
    <w:p w:rsidR="00814863" w:rsidRPr="00771A40" w:rsidRDefault="00814863" w:rsidP="00814863">
      <w:pPr>
        <w:pStyle w:val="paragraph-styledstyledparagraph-sc-a650b026-0"/>
      </w:pPr>
      <w:r w:rsidRPr="00771A40">
        <w:rPr>
          <w:b/>
          <w:bCs/>
        </w:rPr>
        <w:t>2. По вопросу объединения товаров в один лот и применения Постановления Правительства РФ от 23.12.2024 № 1875:</w:t>
      </w:r>
      <w:r w:rsidRPr="00771A40">
        <w:t xml:space="preserve"> Довод о невозможности применения национального режима ввиду наличия в лоте товаров «исключительно иностранного происхождения» отклоняется как несостоятельный. Заказчик правомерно объединил шприцы в один лот, так как они технологически связаны (общая цель — </w:t>
      </w:r>
      <w:proofErr w:type="spellStart"/>
      <w:r w:rsidRPr="00771A40">
        <w:t>инфузионная</w:t>
      </w:r>
      <w:proofErr w:type="spellEnd"/>
      <w:r w:rsidRPr="00771A40">
        <w:t xml:space="preserve"> терапия, совместимость с насосами «</w:t>
      </w:r>
      <w:proofErr w:type="spellStart"/>
      <w:r w:rsidRPr="00771A40">
        <w:t>Перфузор</w:t>
      </w:r>
      <w:proofErr w:type="spellEnd"/>
      <w:r w:rsidRPr="00771A40">
        <w:t>» при необходимости использования шприцевого насоса, ст. 33 Закона № 44-ФЗ), а дробление закупки увеличит бюджетные расходы. Согласно принципам 223-ФЗ, извещение о закупке не должно противоречить Положениям о Закупке Заказчика.</w:t>
      </w:r>
    </w:p>
    <w:p w:rsidR="00814863" w:rsidRPr="00771A40" w:rsidRDefault="00814863" w:rsidP="00814863">
      <w:pPr>
        <w:pStyle w:val="paragraph-styledstyledparagraph-sc-a650b026-0"/>
      </w:pPr>
      <w:r w:rsidRPr="00771A40">
        <w:t>Нарушения ПП РФ № 1875 отсутствуют. Механизм «второй лишний» применяется к каждой позиции в соответствии с установленными ограничительными мерами, установленными к данной закупке, что отражено в аукционной документации при предложении к поставке товара Российского производства. Вместе с тем уведомляем участника закупки, что шприцы относятся к перечню № 2 постановления 1875 и не входят в запрет закупки импортного товара по Национальному режиму.</w:t>
      </w:r>
    </w:p>
    <w:p w:rsidR="00814863" w:rsidRPr="00771A40" w:rsidRDefault="00814863" w:rsidP="00814863">
      <w:pPr>
        <w:pStyle w:val="paragraph-styledstyledparagraph-sc-a650b026-0"/>
      </w:pPr>
      <w:r w:rsidRPr="00771A40">
        <w:t>НМЦК обоснована методом анализа рынка по фактическим ценам на идентичные товары. Закон не обязывает использовать цены несуществующих российских аналогов или цен, которые устанавливает тот или иной Российский или любой другой производитель, а искусственное завышение НМЦК нарушило бы принцип эффективности использования бюджетных средств.</w:t>
      </w:r>
    </w:p>
    <w:p w:rsidR="00814863" w:rsidRPr="00814863" w:rsidRDefault="00814863" w:rsidP="00814863">
      <w:pPr>
        <w:pStyle w:val="paragraph-styledstyledparagraph-sc-a650b026-0"/>
        <w:rPr>
          <w:highlight w:val="yellow"/>
        </w:rPr>
      </w:pPr>
      <w:r w:rsidRPr="00771A40">
        <w:rPr>
          <w:b/>
          <w:bCs/>
        </w:rPr>
        <w:t>3. По вопросу обоснования начальной (максимальной) цены контракта (НМЦК):</w:t>
      </w:r>
      <w:r w:rsidRPr="00771A40">
        <w:t xml:space="preserve"> Довод о занижении НМЦК и невозможности участия отечественных производителей из-за отмены ввозных пошлин и действия ПП РФ № 102 (в ред. № 1220) отклоняется. Обоснование НМЦК выполнено в строгом соответствии со ст. 22 Закона № 44-ФЗ и Приказом Минэкономразвития России от 02.10.2013 № 567 методом сопоставимых рыночных цен (анализа рынка). Заказчиком использованы три коммерческих предложения, полученных от субъектов предпринимательской деятельности. Ссылка на то, что в обосновании НМЦК использованы контракты с товарами из КНР, не свидетельствует о нарушении. Метод сопоставимых рыночных цен базируется на фактически сложившемся уровне цен на </w:t>
      </w:r>
      <w:r w:rsidRPr="00771A40">
        <w:rPr>
          <w:rStyle w:val="ae"/>
        </w:rPr>
        <w:t>идентичные</w:t>
      </w:r>
      <w:r w:rsidRPr="00771A40">
        <w:t xml:space="preserve"> товары, предлагаемые к поставке в данный момент, независимо от страны их происхождения. Ссылка на ПП РФ от 08.07.2022 № 1220 и утрату силы методики по приказу Минздрава и </w:t>
      </w:r>
      <w:proofErr w:type="spellStart"/>
      <w:r w:rsidRPr="00771A40">
        <w:t>Минпромторга</w:t>
      </w:r>
      <w:proofErr w:type="spellEnd"/>
      <w:r w:rsidRPr="00771A40">
        <w:t xml:space="preserve"> несостоятельна, </w:t>
      </w:r>
      <w:r w:rsidRPr="00814863">
        <w:rPr>
          <w:highlight w:val="yellow"/>
        </w:rPr>
        <w:lastRenderedPageBreak/>
        <w:t>так как данная методика применялась в рамках утратившего силу ПП РФ № 102. В настоящее время расчет НМЦК регулируется ст. 22 Закона № 44-ФЗ и общими правилами Приказа № 567. Ссылка на Приказ ЕЭК от 17.03.2022 № 37 неактуальна, так как указанные в запросе временные льготы (до 30.09.2022) прекратили свое действие. Применение мер защиты национального режима по ПП РФ № 1875 не требует искусственного завышения НМЦК до уровня цен российских производителей. Напротив, установление необоснованно высокой НМЦК является нарушением принципа эффективности использования бюджетных средств (ст. 6 Закона № 44-ФЗ). Обязанность Заказчика — установить рыночную цену. Обязанность поставщика — предложить конкурентоспособную цену с учетом предусмотренных ПП РФ № 1875 преференций, которые будут применены комиссией на этапе оценки заявок.</w:t>
      </w:r>
    </w:p>
    <w:p w:rsidR="00814863" w:rsidRDefault="00814863" w:rsidP="00814863">
      <w:pPr>
        <w:pStyle w:val="paragraph-styledstyledparagraph-sc-a650b026-0"/>
      </w:pPr>
      <w:r w:rsidRPr="00814863">
        <w:rPr>
          <w:b/>
          <w:bCs/>
          <w:highlight w:val="yellow"/>
        </w:rPr>
        <w:t>Заключение:</w:t>
      </w:r>
      <w:r w:rsidRPr="00814863">
        <w:rPr>
          <w:highlight w:val="yellow"/>
        </w:rPr>
        <w:t xml:space="preserve"> Ваши доводы о нарушении признаны необоснованными. Документация об электронном аукционе соответствует требованиям действующего законодательства. Заказчик оставляет за собой право внести технические правки в описание характеристик (п. 16) для устранения опечатки, в остальной части документацию оставляет без изменений.</w:t>
      </w:r>
      <w:r>
        <w:t xml:space="preserve"> </w:t>
      </w:r>
    </w:p>
    <w:p w:rsidR="00814863" w:rsidRDefault="00814863" w:rsidP="00D849A2">
      <w:pPr>
        <w:rPr>
          <w:sz w:val="28"/>
          <w:szCs w:val="24"/>
        </w:rPr>
      </w:pPr>
    </w:p>
    <w:sectPr w:rsidR="00814863" w:rsidSect="007821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0"/>
    <w:family w:val="roman"/>
    <w:notTrueType/>
    <w:pitch w:val="default"/>
  </w:font>
  <w:font w:name="font330">
    <w:altName w:val="Times New Roman"/>
    <w:charset w:val="CC"/>
    <w:family w:val="auto"/>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0A156F5C"/>
    <w:multiLevelType w:val="multilevel"/>
    <w:tmpl w:val="DB780F2C"/>
    <w:lvl w:ilvl="0">
      <w:start w:val="1"/>
      <w:numFmt w:val="decimal"/>
      <w:lvlText w:val="%1."/>
      <w:lvlJc w:val="left"/>
      <w:pPr>
        <w:ind w:left="144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160" w:hanging="108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520" w:hanging="1440"/>
      </w:pPr>
      <w:rPr>
        <w:rFonts w:cs="Times New Roman" w:hint="default"/>
      </w:rPr>
    </w:lvl>
  </w:abstractNum>
  <w:abstractNum w:abstractNumId="2" w15:restartNumberingAfterBreak="0">
    <w:nsid w:val="2A717334"/>
    <w:multiLevelType w:val="multilevel"/>
    <w:tmpl w:val="A6708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D61341"/>
    <w:multiLevelType w:val="hybridMultilevel"/>
    <w:tmpl w:val="EB40BCDE"/>
    <w:lvl w:ilvl="0" w:tplc="E4785A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F2E1297"/>
    <w:multiLevelType w:val="hybridMultilevel"/>
    <w:tmpl w:val="9850C11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45144202"/>
    <w:multiLevelType w:val="multilevel"/>
    <w:tmpl w:val="1E0E79DC"/>
    <w:lvl w:ilvl="0">
      <w:start w:val="1"/>
      <w:numFmt w:val="bullet"/>
      <w:lvlText w:val="-"/>
      <w:lvlJc w:val="left"/>
      <w:rPr>
        <w:rFonts w:ascii="Arial" w:eastAsia="Arial" w:hAnsi="Arial" w:cs="Arial"/>
        <w:b/>
        <w:bCs/>
        <w:i w:val="0"/>
        <w:iCs w:val="0"/>
        <w:smallCaps w:val="0"/>
        <w:strike w:val="0"/>
        <w:color w:val="000000"/>
        <w:spacing w:val="0"/>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81374AF"/>
    <w:multiLevelType w:val="hybridMultilevel"/>
    <w:tmpl w:val="FF6444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4"/>
  </w:num>
  <w:num w:numId="3">
    <w:abstractNumId w:val="3"/>
  </w:num>
  <w:num w:numId="4">
    <w:abstractNumId w:val="6"/>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DEE"/>
    <w:rsid w:val="00013488"/>
    <w:rsid w:val="00070808"/>
    <w:rsid w:val="000F1307"/>
    <w:rsid w:val="0018122E"/>
    <w:rsid w:val="0026157E"/>
    <w:rsid w:val="002C54B0"/>
    <w:rsid w:val="00363A03"/>
    <w:rsid w:val="003A0E18"/>
    <w:rsid w:val="003D656B"/>
    <w:rsid w:val="003D758D"/>
    <w:rsid w:val="003E5DEE"/>
    <w:rsid w:val="004630A0"/>
    <w:rsid w:val="00514E14"/>
    <w:rsid w:val="00535FC4"/>
    <w:rsid w:val="005D5F3F"/>
    <w:rsid w:val="006964AE"/>
    <w:rsid w:val="00725239"/>
    <w:rsid w:val="00771A40"/>
    <w:rsid w:val="00782198"/>
    <w:rsid w:val="00814863"/>
    <w:rsid w:val="00835061"/>
    <w:rsid w:val="008F3FD4"/>
    <w:rsid w:val="009314CA"/>
    <w:rsid w:val="00954F66"/>
    <w:rsid w:val="009B153E"/>
    <w:rsid w:val="009B1D61"/>
    <w:rsid w:val="009D41FC"/>
    <w:rsid w:val="009F2D7A"/>
    <w:rsid w:val="00A16024"/>
    <w:rsid w:val="00A45D22"/>
    <w:rsid w:val="00A90606"/>
    <w:rsid w:val="00AA6FAA"/>
    <w:rsid w:val="00B51C70"/>
    <w:rsid w:val="00B67499"/>
    <w:rsid w:val="00B82C9A"/>
    <w:rsid w:val="00BA5230"/>
    <w:rsid w:val="00BB15C9"/>
    <w:rsid w:val="00BD09F5"/>
    <w:rsid w:val="00BF1ABF"/>
    <w:rsid w:val="00C33FC0"/>
    <w:rsid w:val="00C72489"/>
    <w:rsid w:val="00CB1587"/>
    <w:rsid w:val="00D10CDD"/>
    <w:rsid w:val="00D849A2"/>
    <w:rsid w:val="00E709E5"/>
    <w:rsid w:val="00ED5215"/>
    <w:rsid w:val="00EE3388"/>
    <w:rsid w:val="00FF1F3D"/>
    <w:rsid w:val="00FF7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B06D62-A702-4759-8414-AB0EA1752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AB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F1ABF"/>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09E5"/>
    <w:pPr>
      <w:widowControl/>
      <w:autoSpaceDE/>
      <w:autoSpaceDN/>
      <w:adjustRightInd/>
    </w:pPr>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E709E5"/>
    <w:rPr>
      <w:rFonts w:ascii="Tahoma" w:hAnsi="Tahoma" w:cs="Tahoma"/>
      <w:sz w:val="16"/>
      <w:szCs w:val="16"/>
    </w:rPr>
  </w:style>
  <w:style w:type="character" w:customStyle="1" w:styleId="10">
    <w:name w:val="Заголовок 1 Знак"/>
    <w:basedOn w:val="a0"/>
    <w:link w:val="1"/>
    <w:rsid w:val="00BF1ABF"/>
    <w:rPr>
      <w:rFonts w:ascii="Cambria" w:eastAsia="Times New Roman" w:hAnsi="Cambria" w:cs="Times New Roman"/>
      <w:b/>
      <w:bCs/>
      <w:kern w:val="32"/>
      <w:sz w:val="32"/>
      <w:szCs w:val="32"/>
      <w:lang w:eastAsia="ru-RU"/>
    </w:rPr>
  </w:style>
  <w:style w:type="paragraph" w:customStyle="1" w:styleId="Default">
    <w:name w:val="Default"/>
    <w:rsid w:val="00BF1A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5">
    <w:name w:val="Гипертекстовая ссылка"/>
    <w:basedOn w:val="a0"/>
    <w:uiPriority w:val="99"/>
    <w:rsid w:val="00BF1ABF"/>
    <w:rPr>
      <w:rFonts w:cs="Times New Roman"/>
      <w:color w:val="106BBE"/>
    </w:rPr>
  </w:style>
  <w:style w:type="paragraph" w:customStyle="1" w:styleId="a6">
    <w:name w:val="Нормальный (таблица)"/>
    <w:basedOn w:val="a"/>
    <w:next w:val="a"/>
    <w:uiPriority w:val="99"/>
    <w:rsid w:val="00BF1ABF"/>
    <w:pPr>
      <w:jc w:val="both"/>
    </w:pPr>
    <w:rPr>
      <w:rFonts w:ascii="Arial" w:hAnsi="Arial" w:cs="Arial"/>
      <w:sz w:val="24"/>
      <w:szCs w:val="24"/>
    </w:rPr>
  </w:style>
  <w:style w:type="paragraph" w:customStyle="1" w:styleId="a7">
    <w:name w:val="Прижатый влево"/>
    <w:basedOn w:val="a"/>
    <w:next w:val="a"/>
    <w:uiPriority w:val="99"/>
    <w:rsid w:val="00BF1ABF"/>
    <w:rPr>
      <w:rFonts w:ascii="Arial" w:hAnsi="Arial" w:cs="Arial"/>
      <w:sz w:val="24"/>
      <w:szCs w:val="24"/>
    </w:rPr>
  </w:style>
  <w:style w:type="paragraph" w:styleId="a8">
    <w:name w:val="List Paragraph"/>
    <w:basedOn w:val="a"/>
    <w:link w:val="a9"/>
    <w:uiPriority w:val="34"/>
    <w:qFormat/>
    <w:rsid w:val="003D758D"/>
    <w:pPr>
      <w:ind w:left="720"/>
      <w:contextualSpacing/>
    </w:pPr>
  </w:style>
  <w:style w:type="paragraph" w:styleId="aa">
    <w:name w:val="No Spacing"/>
    <w:aliases w:val="Жирный"/>
    <w:link w:val="ab"/>
    <w:uiPriority w:val="1"/>
    <w:qFormat/>
    <w:rsid w:val="00AA6FAA"/>
    <w:pPr>
      <w:spacing w:after="0" w:line="240" w:lineRule="auto"/>
    </w:pPr>
  </w:style>
  <w:style w:type="character" w:styleId="ac">
    <w:name w:val="Hyperlink"/>
    <w:basedOn w:val="a0"/>
    <w:uiPriority w:val="99"/>
    <w:unhideWhenUsed/>
    <w:rsid w:val="00C72489"/>
    <w:rPr>
      <w:color w:val="0000FF" w:themeColor="hyperlink"/>
      <w:u w:val="single"/>
    </w:rPr>
  </w:style>
  <w:style w:type="paragraph" w:customStyle="1" w:styleId="ConsPlusNormal">
    <w:name w:val="ConsPlusNormal"/>
    <w:rsid w:val="00C7248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2">
    <w:name w:val="Основной текст (2)_"/>
    <w:basedOn w:val="a0"/>
    <w:link w:val="20"/>
    <w:rsid w:val="00A45D22"/>
    <w:rPr>
      <w:rFonts w:ascii="Arial" w:eastAsia="Arial" w:hAnsi="Arial" w:cs="Arial"/>
      <w:sz w:val="17"/>
      <w:szCs w:val="17"/>
      <w:shd w:val="clear" w:color="auto" w:fill="FFFFFF"/>
    </w:rPr>
  </w:style>
  <w:style w:type="character" w:customStyle="1" w:styleId="27pt">
    <w:name w:val="Основной текст (2) + 7 pt;Полужирный"/>
    <w:basedOn w:val="2"/>
    <w:rsid w:val="00A45D22"/>
    <w:rPr>
      <w:rFonts w:ascii="Arial" w:eastAsia="Arial" w:hAnsi="Arial" w:cs="Arial"/>
      <w:b/>
      <w:bCs/>
      <w:color w:val="000000"/>
      <w:w w:val="100"/>
      <w:position w:val="0"/>
      <w:sz w:val="14"/>
      <w:szCs w:val="14"/>
      <w:shd w:val="clear" w:color="auto" w:fill="FFFFFF"/>
      <w:lang w:val="ru-RU" w:eastAsia="ru-RU" w:bidi="ru-RU"/>
    </w:rPr>
  </w:style>
  <w:style w:type="character" w:customStyle="1" w:styleId="265pt">
    <w:name w:val="Основной текст (2) + 6;5 pt;Полужирный"/>
    <w:basedOn w:val="2"/>
    <w:rsid w:val="00A45D22"/>
    <w:rPr>
      <w:rFonts w:ascii="Arial" w:eastAsia="Arial" w:hAnsi="Arial" w:cs="Arial"/>
      <w:b/>
      <w:bCs/>
      <w:color w:val="000000"/>
      <w:w w:val="100"/>
      <w:position w:val="0"/>
      <w:sz w:val="13"/>
      <w:szCs w:val="13"/>
      <w:shd w:val="clear" w:color="auto" w:fill="FFFFFF"/>
      <w:lang w:val="ru-RU" w:eastAsia="ru-RU" w:bidi="ru-RU"/>
    </w:rPr>
  </w:style>
  <w:style w:type="character" w:customStyle="1" w:styleId="27pt0">
    <w:name w:val="Основной текст (2) + 7 pt;Курсив"/>
    <w:basedOn w:val="2"/>
    <w:rsid w:val="00A45D22"/>
    <w:rPr>
      <w:rFonts w:ascii="Arial" w:eastAsia="Arial" w:hAnsi="Arial" w:cs="Arial"/>
      <w:i/>
      <w:iCs/>
      <w:color w:val="000000"/>
      <w:w w:val="100"/>
      <w:position w:val="0"/>
      <w:sz w:val="14"/>
      <w:szCs w:val="14"/>
      <w:shd w:val="clear" w:color="auto" w:fill="FFFFFF"/>
      <w:lang w:val="ru-RU" w:eastAsia="ru-RU" w:bidi="ru-RU"/>
    </w:rPr>
  </w:style>
  <w:style w:type="paragraph" w:customStyle="1" w:styleId="20">
    <w:name w:val="Основной текст (2)"/>
    <w:basedOn w:val="a"/>
    <w:link w:val="2"/>
    <w:rsid w:val="00A45D22"/>
    <w:pPr>
      <w:shd w:val="clear" w:color="auto" w:fill="FFFFFF"/>
      <w:autoSpaceDE/>
      <w:autoSpaceDN/>
      <w:adjustRightInd/>
      <w:spacing w:after="240" w:line="0" w:lineRule="atLeast"/>
      <w:jc w:val="center"/>
    </w:pPr>
    <w:rPr>
      <w:rFonts w:ascii="Arial" w:eastAsia="Arial" w:hAnsi="Arial" w:cs="Arial"/>
      <w:sz w:val="17"/>
      <w:szCs w:val="17"/>
      <w:lang w:eastAsia="en-US"/>
    </w:rPr>
  </w:style>
  <w:style w:type="table" w:styleId="ad">
    <w:name w:val="Table Grid"/>
    <w:basedOn w:val="a1"/>
    <w:uiPriority w:val="39"/>
    <w:rsid w:val="009F2D7A"/>
    <w:pPr>
      <w:suppressAutoHyphens/>
      <w:spacing w:after="0" w:line="240" w:lineRule="auto"/>
    </w:pPr>
    <w:rPr>
      <w:rFonts w:eastAsia="DengXi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archresult">
    <w:name w:val="search_result"/>
    <w:basedOn w:val="a0"/>
    <w:rsid w:val="00B67499"/>
  </w:style>
  <w:style w:type="paragraph" w:customStyle="1" w:styleId="formattext">
    <w:name w:val="formattext"/>
    <w:basedOn w:val="a"/>
    <w:rsid w:val="00B67499"/>
    <w:pPr>
      <w:widowControl/>
      <w:suppressAutoHyphens/>
      <w:autoSpaceDE/>
      <w:autoSpaceDN/>
      <w:adjustRightInd/>
      <w:spacing w:before="280" w:after="280"/>
    </w:pPr>
    <w:rPr>
      <w:kern w:val="1"/>
      <w:sz w:val="24"/>
      <w:szCs w:val="24"/>
    </w:rPr>
  </w:style>
  <w:style w:type="paragraph" w:customStyle="1" w:styleId="11">
    <w:name w:val="Обычный (веб)1"/>
    <w:basedOn w:val="a"/>
    <w:rsid w:val="00B67499"/>
    <w:pPr>
      <w:widowControl/>
      <w:suppressAutoHyphens/>
      <w:autoSpaceDE/>
      <w:autoSpaceDN/>
      <w:adjustRightInd/>
      <w:spacing w:before="280" w:after="280"/>
    </w:pPr>
    <w:rPr>
      <w:kern w:val="1"/>
      <w:sz w:val="24"/>
      <w:szCs w:val="24"/>
    </w:rPr>
  </w:style>
  <w:style w:type="paragraph" w:customStyle="1" w:styleId="12">
    <w:name w:val="Абзац списка1"/>
    <w:basedOn w:val="a"/>
    <w:rsid w:val="00B67499"/>
    <w:pPr>
      <w:widowControl/>
      <w:suppressAutoHyphens/>
      <w:autoSpaceDE/>
      <w:autoSpaceDN/>
      <w:adjustRightInd/>
      <w:spacing w:after="160" w:line="259" w:lineRule="auto"/>
      <w:ind w:left="720"/>
      <w:contextualSpacing/>
    </w:pPr>
    <w:rPr>
      <w:rFonts w:ascii="Calibri" w:eastAsia="Calibri" w:hAnsi="Calibri" w:cs="font330"/>
      <w:kern w:val="1"/>
      <w:sz w:val="22"/>
      <w:szCs w:val="22"/>
      <w:lang w:eastAsia="en-US"/>
    </w:rPr>
  </w:style>
  <w:style w:type="character" w:customStyle="1" w:styleId="a9">
    <w:name w:val="Абзац списка Знак"/>
    <w:link w:val="a8"/>
    <w:uiPriority w:val="34"/>
    <w:locked/>
    <w:rsid w:val="008F3FD4"/>
    <w:rPr>
      <w:rFonts w:ascii="Times New Roman" w:eastAsia="Times New Roman" w:hAnsi="Times New Roman" w:cs="Times New Roman"/>
      <w:sz w:val="20"/>
      <w:szCs w:val="20"/>
      <w:lang w:eastAsia="ru-RU"/>
    </w:rPr>
  </w:style>
  <w:style w:type="character" w:customStyle="1" w:styleId="ab">
    <w:name w:val="Без интервала Знак"/>
    <w:aliases w:val="Жирный Знак"/>
    <w:link w:val="aa"/>
    <w:uiPriority w:val="1"/>
    <w:locked/>
    <w:rsid w:val="00D849A2"/>
  </w:style>
  <w:style w:type="paragraph" w:customStyle="1" w:styleId="paragraph-styledstyledparagraph-sc-a650b026-0">
    <w:name w:val="paragraph-styled__styledparagraph-sc-a650b026-0"/>
    <w:basedOn w:val="a"/>
    <w:rsid w:val="00814863"/>
    <w:pPr>
      <w:widowControl/>
      <w:autoSpaceDE/>
      <w:autoSpaceDN/>
      <w:adjustRightInd/>
      <w:spacing w:before="100" w:beforeAutospacing="1" w:after="100" w:afterAutospacing="1"/>
    </w:pPr>
    <w:rPr>
      <w:sz w:val="24"/>
      <w:szCs w:val="24"/>
    </w:rPr>
  </w:style>
  <w:style w:type="character" w:styleId="ae">
    <w:name w:val="Emphasis"/>
    <w:basedOn w:val="a0"/>
    <w:uiPriority w:val="20"/>
    <w:qFormat/>
    <w:rsid w:val="008148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990579">
      <w:bodyDiv w:val="1"/>
      <w:marLeft w:val="0"/>
      <w:marRight w:val="0"/>
      <w:marTop w:val="0"/>
      <w:marBottom w:val="0"/>
      <w:divBdr>
        <w:top w:val="none" w:sz="0" w:space="0" w:color="auto"/>
        <w:left w:val="none" w:sz="0" w:space="0" w:color="auto"/>
        <w:bottom w:val="none" w:sz="0" w:space="0" w:color="auto"/>
        <w:right w:val="none" w:sz="0" w:space="0" w:color="auto"/>
      </w:divBdr>
    </w:div>
    <w:div w:id="206551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C:\Documents%20and%20Settings\777\&#1056;&#1072;&#1073;&#1086;&#1095;&#1080;&#1081;%20&#1089;&#1090;&#1086;&#1083;\&#1051;&#1070;&#1041;&#1054;&#1042;&#1068;%20&#1042;&#1080;&#1082;&#1090;&#1086;&#1088;&#1086;&#1074;&#1085;&#1072;\&#1053;&#1077;&#1092;&#1090;&#1103;&#1085;&#1080;&#1082;_&#1083;&#1086;&#1075;&#1086;&#1090;&#1080;&#1087;.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1793</Words>
  <Characters>10222</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закупки4</cp:lastModifiedBy>
  <cp:revision>3</cp:revision>
  <cp:lastPrinted>2018-10-16T09:03:00Z</cp:lastPrinted>
  <dcterms:created xsi:type="dcterms:W3CDTF">2026-10-26T06:01:00Z</dcterms:created>
  <dcterms:modified xsi:type="dcterms:W3CDTF">2026-10-26T10:18:00Z</dcterms:modified>
</cp:coreProperties>
</file>