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11"/>
        <w:contextualSpacing w:val="0"/>
        <w:ind w:left="0" w:right="0" w:firstLine="0"/>
        <w:jc w:val="center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2"/>
          <w:szCs w:val="22"/>
        </w:rPr>
        <w:t xml:space="preserve">ТЕХНИЧЕСКОЕ ЗАДАНИЕ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contextualSpacing w:val="0"/>
        <w:ind w:left="0" w:right="0" w:firstLine="0"/>
        <w:jc w:val="center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2"/>
          <w:szCs w:val="22"/>
        </w:rPr>
        <w:t xml:space="preserve">на оказание услуг по предоставлению доступа к беспроводной сети передачи данных (Wi‑Fi)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713"/>
        <w:contextualSpacing w:val="0"/>
        <w:ind w:left="0" w:right="0" w:firstLine="0"/>
        <w:jc w:val="center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2"/>
          <w:szCs w:val="22"/>
          <w:highlight w:val="none"/>
        </w:rPr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709"/>
        <w:contextualSpacing w:val="0"/>
        <w:ind w:left="-15" w:right="-15" w:firstLine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713"/>
        <w:contextualSpacing w:val="0"/>
        <w:ind w:left="0" w:right="0" w:firstLine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2"/>
          <w:szCs w:val="22"/>
        </w:rPr>
        <w:t xml:space="preserve">1. Общие сведения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contextualSpacing w:val="0"/>
        <w:ind w:left="0" w:right="0" w:firstLine="0"/>
        <w:jc w:val="left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1.1. Предмет услуг: оказание услуг по организации, эксплуатации и технической поддержке беспроводной сети Wi‑Fi на территории музея (включая экспозиционные залы, фойе, вестибюль, зоны касс , коридоры) для посетителей и 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сотрудников.</w:t>
        <w:br/>
        <w:t xml:space="preserve">1.2. Цель оказания услуг: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906"/>
        <w:numPr>
          <w:ilvl w:val="0"/>
          <w:numId w:val="15"/>
        </w:numPr>
        <w:contextualSpacing w:val="0"/>
        <w:ind w:right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обеспечение бесплатного доступа посетителей к сети Интернет для скачивания аудиогидов, навигации, ознакомления с цифровой экспозицией, использования мобильных сервисов музея;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906"/>
        <w:numPr>
          <w:ilvl w:val="0"/>
          <w:numId w:val="15"/>
        </w:numPr>
        <w:contextualSpacing w:val="0"/>
        <w:ind w:right="0"/>
        <w:jc w:val="left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создание условий для комфортного пребывания посетителей, в том числе иностранных туристов (без необходимости использовать роуминг).</w:t>
        <w:br/>
        <w:t xml:space="preserve">1.3. Срок оказания услуг: 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с 01.01.2027 по 31.12.2027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br/>
        <w:t xml:space="preserve">1.4. Режим работы усл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уг: круглосуточно (24/7) в дни работы музея; в дни закрытия — в минимальном режиме для поддержки внутренних сервисов (по согласованию).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tbl>
      <w:tblPr>
        <w:tblStyle w:val="884"/>
        <w:tblW w:w="0" w:type="auto"/>
        <w:jc w:val="center"/>
        <w:tblInd w:w="-45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8"/>
        <w:gridCol w:w="1872"/>
        <w:gridCol w:w="2154"/>
      </w:tblGrid>
      <w:tr>
        <w:tblPrEx/>
        <w:trPr>
          <w:jc w:val="center"/>
          <w:trHeight w:val="1018" w:hRule="exact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508" w:type="dxa"/>
            <w:vAlign w:val="center"/>
            <w:textDirection w:val="lrTb"/>
            <w:noWrap w:val="false"/>
          </w:tcPr>
          <w:p>
            <w:pPr>
              <w:jc w:val="both"/>
              <w:spacing w:line="314" w:lineRule="auto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Наименование объекта /Адрес предоставления услуги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2" w:type="dxa"/>
            <w:vAlign w:val="center"/>
            <w:textDirection w:val="lrTb"/>
            <w:noWrap w:val="false"/>
          </w:tcPr>
          <w:p>
            <w:pPr>
              <w:jc w:val="both"/>
              <w:spacing w:line="314" w:lineRule="auto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Количество точек доступа, шт.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4" w:type="dxa"/>
            <w:vAlign w:val="center"/>
            <w:textDirection w:val="lrTb"/>
            <w:noWrap w:val="false"/>
          </w:tcPr>
          <w:p>
            <w:pPr>
              <w:jc w:val="center"/>
              <w:spacing w:line="314" w:lineRule="auto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Примечание: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508" w:type="dxa"/>
            <w:vAlign w:val="center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МАУК Музейный центр 629803, г. Ноябрьск, ул. Советская, д. 82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2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2 шт.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4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Внутренний Wi-Fi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508" w:type="dxa"/>
            <w:vAlign w:val="center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МАУК Музейный центр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629807, г. Ноябрьск, ул. Ленина, д. 70А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2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 шт.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4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Внутренний Wi-Fi</w:t>
            </w:r>
            <w:r/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508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Liberation Sans" w:hAnsi="Liberation Sans" w:eastAsia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МАУК Музейный центр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«Этнографический комплекс «НУМ», г. Ноябрьск, Парк культуры и отдыха "Ноябрьск-парк"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Liberation Sans" w:hAnsi="Liberation Sans" w:eastAsia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 шт.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4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rPr>
                <w:rFonts w:ascii="Liberation Sans" w:hAnsi="Liberation Sans" w:eastAsia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Наружный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Wi-Fi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</w:p>
        </w:tc>
      </w:tr>
    </w:tbl>
    <w:p>
      <w:pPr>
        <w:contextualSpacing w:val="0"/>
        <w:ind w:left="709" w:right="0" w:firstLine="0"/>
        <w:jc w:val="left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none"/>
        </w:rPr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713"/>
        <w:contextualSpacing w:val="0"/>
        <w:ind w:left="0" w:right="0" w:firstLine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2"/>
          <w:szCs w:val="22"/>
        </w:rPr>
        <w:t xml:space="preserve">2. Объём и состав услуг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contextualSpacing w:val="0"/>
        <w:ind w:left="0" w:right="0" w:firstLine="0"/>
        <w:jc w:val="left"/>
        <w:spacing w:before="0" w:beforeAutospacing="0" w:after="0" w:afterAutospacing="0" w:line="283" w:lineRule="exact"/>
        <w:rPr>
          <w:rFonts w:ascii="Liberation Sans" w:hAnsi="Liberation Sans" w:eastAsia="Liberation Sans" w:cs="Liberation Sans"/>
          <w:color w:val="000000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Исполнитель обязуется:</w:t>
        <w:br/>
        <w:t xml:space="preserve">2.1. Провести предпроектное обследование объекта: радиообследование, замеры уровня сигнала, определение «мёртвых зон», оценку влияния экспонатов (в т. ч. металлических, стеклянных витрин, толстых стен), расчёт ожидаемой нагрузки по п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иковым дням.</w:t>
        <w:br/>
        <w:t xml:space="preserve">2.2. Разработать проект Wi‑Fi‑сети: схему размещения точек доступа с учётом архитектурных особенностей и требований по сохранению облика помещений, план коммутации, расчёт ёмкости и резервирования.</w:t>
        <w:br/>
        <w:t xml:space="preserve">2.3. Поставить, смонтировать и на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строить оборудование (точки доступа, контроллер, коммутаторы, ИБП, кабели, крепления), обеспечив эстетичный вид.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</w:r>
    </w:p>
    <w:p>
      <w:pPr>
        <w:contextualSpacing w:val="0"/>
        <w:ind w:left="0" w:right="0" w:firstLine="0"/>
        <w:jc w:val="left"/>
        <w:spacing w:before="0" w:beforeAutospacing="0" w:after="0" w:afterAutospacing="0" w:line="283" w:lineRule="exact"/>
        <w:rPr>
          <w:rFonts w:ascii="Liberation Sans" w:hAnsi="Liberation Sans" w:eastAsia="Liberation Sans" w:cs="Liberation Sans"/>
          <w:color w:val="000000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2.4. Обеспечить подключение к каналу до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ступа в Интернет, настроить маршрутизацию,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 DHCP.</w:t>
        <w:br/>
        <w:t xml:space="preserve">2.5. Настроить доступ к 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Wi‑Fi 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 сети 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для посетителей — с Captive Portal, возможностью быстрой авторизации (SMS‑код, вход через ЕСИА/Госуслуги.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</w:r>
    </w:p>
    <w:p>
      <w:pPr>
        <w:contextualSpacing w:val="0"/>
        <w:ind w:left="0" w:right="0" w:firstLine="0"/>
        <w:jc w:val="left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2.6. Настроить безопасность и контент‑фильтрацию: блокировка вредоносных ресурсов, фишинга, запрещённого контента; фильтрация по категориям 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(соцсети, потоковое видео — по согласованию, чтобы не перегружать канал при скачивании аудиогидов).</w:t>
        <w:br/>
        <w:t xml:space="preserve">2.7. Обеспечить мониторинг и управление сетью: 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сбор статистики (количество пользователей, нагрузка, сессии), логирование событи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й, уведомления о сбоях, формирование отчётов.</w:t>
        <w:br/>
        <w:t xml:space="preserve">2.8. Оказывать техническую поддержку: приём заявок, диагностика, устранение неисправностей, консультирование сотрудников музея, ведение базы знаний и отчётности.</w:t>
        <w:br/>
        <w:t xml:space="preserve">2.9. Проводить плановые работы: обновление ПО, а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удит конфигурации, проверку радиопокрытия, оптимизацию каналов, тестирование отказоустойчивости — не реже 1 раза в квартал.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713"/>
        <w:contextualSpacing w:val="0"/>
        <w:ind w:left="0" w:right="0" w:firstLine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2"/>
          <w:szCs w:val="22"/>
        </w:rPr>
        <w:t xml:space="preserve">3. Требования к зоне покрытия и качеству связи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contextualSpacing w:val="0"/>
        <w:ind w:left="0" w:right="0" w:firstLine="0"/>
        <w:jc w:val="left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3.1. Зона покрытия: все экспозиционные залы, фойе, вестибюль, кассы.</w:t>
        <w:br/>
        <w:t xml:space="preserve">3.2. Минимальное покрытие: не менее 98% площади указанных зон (с учётом сложной геометрии залов и витрин).</w:t>
        <w:br/>
        <w:t xml:space="preserve">3.3. Уровень 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</w:rPr>
        <w:t xml:space="preserve">сигнала: 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</w:rPr>
        <w:t xml:space="preserve">RS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</w:rPr>
        <w:t xml:space="preserve">SI не хуже −70 dBm в 90% точек зоны покрытия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</w:rPr>
        <w:t xml:space="preserve">.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br/>
        <w:t xml:space="preserve">3.4. Пропускная способность: 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минимальная скорость на пользователя в гостевом сегменте — не менее 10 Мбит/с при одновременной нагрузк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</w:rPr>
        <w:t xml:space="preserve">е до 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</w:rPr>
        <w:t xml:space="preserve">20 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</w:rPr>
        <w:t xml:space="preserve">по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льзователей.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contextualSpacing w:val="0"/>
        <w:ind w:left="0" w:right="0" w:firstLine="0"/>
        <w:jc w:val="left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red"/>
        </w:rPr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br/>
        <w:t xml:space="preserve">3.5. Роуминг: бесшовный переход между точками доступа (802.11r/k/v) с временем переключения не более 2 секунд; отсутствие р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азрывов сессий при перемещении по залам.</w:t>
        <w:br/>
        <w:t xml:space="preserve">3.6. Доступность услуги: не менее 99,7% времени в рабочие часы музея (исключая согласованные окна работ).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713"/>
        <w:contextualSpacing w:val="0"/>
        <w:ind w:left="0" w:right="0" w:firstLine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2"/>
          <w:szCs w:val="22"/>
          <w:highlight w:val="white"/>
        </w:rPr>
        <w:t xml:space="preserve">4. Требования к оборудованию и стандартам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contextualSpacing w:val="0"/>
        <w:ind w:left="0" w:right="0" w:firstLine="0"/>
        <w:jc w:val="left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</w:rPr>
        <w:t xml:space="preserve">4.1. Стандарты Wi‑Fi: IEEE 802.11a/b/g/n/ac.</w:t>
        <w:br/>
        <w:t xml:space="preserve">4.2. Диапазоны частот: 2,4 ГГц и 5 ГГц.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</w:rPr>
        <w:br/>
        <w:t xml:space="preserve">4.3. Питание точек доступа: по PoE (802.3af/at/b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</w:rPr>
        <w:t xml:space="preserve">t).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br/>
        <w:t xml:space="preserve">4.4. Оборудование должно быть новым, серийным, иметь сертификаты соответствия (ЕАЭС/ТР ТС), гарантийные обязательства производителя не менее 12 месяцев.</w:t>
        <w:br/>
        <w:t xml:space="preserve">4.5. Размещение оборудования: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906"/>
        <w:numPr>
          <w:ilvl w:val="0"/>
          <w:numId w:val="18"/>
        </w:numPr>
        <w:contextualSpacing w:val="0"/>
        <w:ind w:right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с учётом требований по сохранению исторического/архитектурного облика помещений (минимально заметные точки доступа, скрытые трассы, аккуратные крепления);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906"/>
        <w:numPr>
          <w:ilvl w:val="0"/>
          <w:numId w:val="18"/>
        </w:numPr>
        <w:contextualSpacing w:val="0"/>
        <w:ind w:right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без создания помех для систем охраны, видеонаблюдения, климат‑контроля, сигнализации и экспонатов;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906"/>
        <w:numPr>
          <w:ilvl w:val="0"/>
          <w:numId w:val="18"/>
        </w:numPr>
        <w:contextualSpacing w:val="0"/>
        <w:ind w:right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в местах, защищённых от случайного повреждения и вандализма.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713"/>
        <w:contextualSpacing w:val="0"/>
        <w:ind w:left="0" w:right="0" w:firstLine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2"/>
          <w:szCs w:val="22"/>
          <w:highlight w:val="white"/>
        </w:rPr>
        <w:t xml:space="preserve">5. Требования к информационной безопасности и работе в музее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contextualSpacing w:val="0"/>
        <w:ind w:left="0" w:right="0" w:firstLine="0"/>
        <w:jc w:val="left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</w:rPr>
        <w:t xml:space="preserve">5.1. Шифрование:  WPA2 Personal, если WPA3 не поддерживается массово.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</w:rPr>
        <w:br/>
        <w:t xml:space="preserve">5.2. Авторизация: Captive Portal с понятной инструкцией на русском и английском языках; возможность входа через ЕСИА.</w:t>
        <w:br/>
        <w:t xml:space="preserve">5.3. Фильтрация контента: блокировка вредоносных сайтов, фишинга; при н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</w:rPr>
        <w:t xml:space="preserve">еобходимости — фильтрация категорий (видеостриминг, соцсети) для экономии полосы под скачивание аудиогидов.</w:t>
        <w:br/>
        <w:t xml:space="preserve">5.4. Логирование и отчётность: хранение событий и статистики не менее 30 дней; экспорт отчётов по запросу музея (количество сессий, пиковая нагрузка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</w:rPr>
        <w:t xml:space="preserve">, длительность сессий).</w:t>
        <w:br/>
        <w:t xml:space="preserve">5.5. Защита персональных данных: при сборе любых данных (номер телефона для SMS‑кода и т. п.) — строго в соответствии с ФЗ‑152; минимизация сбора, хранение только необходимого, политика конфиденциальности на стр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</w:rPr>
        <w:t xml:space="preserve">анице авторизации.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pStyle w:val="713"/>
        <w:contextualSpacing w:val="0"/>
        <w:ind w:left="0" w:right="0" w:firstLine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2"/>
          <w:szCs w:val="22"/>
          <w:highlight w:val="white"/>
        </w:rPr>
        <w:t xml:space="preserve">6. Требования к технической поддержке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  <w:highlight w:val="red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6.1. Канал приёма заявок: телефон, почта, чат/портал, мессенджер — указать выбранные каналы.</w:t>
        <w:br/>
        <w:t xml:space="preserve">6.2. Время реакции: не более 30 минут в рабочее время музея, не более 2 часов в нерабочее.</w:t>
        <w:br/>
        <w:t xml:space="preserve">6.3. Время устранения неисправности: не более 4 часов для критических ин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цидентов (полная недоступность Wi‑Fi в залах), не более 24 часов для остальных.</w:t>
        <w:br/>
        <w:t xml:space="preserve">6.4. Плановые работы: уведомление музея не менее чем за 48 часов; проведение в нерабочие часы или в дни с минимальной посещаемостью.</w:t>
        <w:br/>
      </w:r>
      <w:r>
        <w:rPr>
          <w:rFonts w:ascii="Liberation Sans" w:hAnsi="Liberation Sans" w:eastAsia="Liberation Sans" w:cs="Liberation Sans"/>
          <w:b/>
          <w:color w:val="000000"/>
          <w:sz w:val="22"/>
          <w:szCs w:val="22"/>
        </w:rPr>
        <w:t xml:space="preserve">7. Порядок приёмки и критерии приёмки услуг</w:t>
      </w:r>
      <w:r>
        <w:rPr>
          <w:rFonts w:ascii="Liberation Sans" w:hAnsi="Liberation Sans" w:cs="Liberation Sans"/>
          <w:sz w:val="22"/>
          <w:szCs w:val="22"/>
          <w:highlight w:val="red"/>
        </w:rPr>
      </w:r>
      <w:r>
        <w:rPr>
          <w:rFonts w:ascii="Liberation Sans" w:hAnsi="Liberation Sans" w:cs="Liberation Sans"/>
          <w:sz w:val="22"/>
          <w:szCs w:val="22"/>
          <w:highlight w:val="red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7.1. При сдаче‑приёмке Исполнитель предоставляет: акт выполненных работ, схему сети, список оборудования (модели, серийные номера), настройки (конфигурации), инструкцию по эксплуатации, отчёты радиообследования (тепловые карты покрытия), результаты нагрузо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чного теста.</w:t>
        <w:br/>
        <w:t xml:space="preserve">7.2. Критерии приёмки: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906"/>
        <w:numPr>
          <w:ilvl w:val="0"/>
          <w:numId w:val="19"/>
        </w:numPr>
        <w:contextualSpacing w:val="0"/>
        <w:ind w:right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</w:rPr>
        <w:t xml:space="preserve">покрытие ≥95% зоны;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pStyle w:val="906"/>
        <w:numPr>
          <w:ilvl w:val="0"/>
          <w:numId w:val="19"/>
        </w:numPr>
        <w:contextualSpacing w:val="0"/>
        <w:ind w:right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</w:rPr>
        <w:t xml:space="preserve">RSSI ≥ −70 dBm в 90% точек;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pStyle w:val="906"/>
        <w:numPr>
          <w:ilvl w:val="0"/>
          <w:numId w:val="19"/>
        </w:numPr>
        <w:contextualSpacing w:val="0"/>
        <w:ind w:right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</w:rPr>
        <w:t xml:space="preserve">скорость на пользователя ≥10 Мбит/с при заявленной нагрузке;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pStyle w:val="906"/>
        <w:numPr>
          <w:ilvl w:val="0"/>
          <w:numId w:val="19"/>
        </w:numPr>
        <w:contextualSpacing w:val="0"/>
        <w:ind w:right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бесшовный роуминг с временем переключения ≤2 сек;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906"/>
        <w:numPr>
          <w:ilvl w:val="0"/>
          <w:numId w:val="19"/>
        </w:numPr>
        <w:contextualSpacing w:val="0"/>
        <w:ind w:right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работоспособность авторизации и фильтрации;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906"/>
        <w:numPr>
          <w:ilvl w:val="0"/>
          <w:numId w:val="19"/>
        </w:numPr>
        <w:contextualSpacing w:val="0"/>
        <w:ind w:right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наличие настроенного мониторинга и каналов поддержки;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906"/>
        <w:numPr>
          <w:ilvl w:val="0"/>
          <w:numId w:val="19"/>
        </w:numPr>
        <w:contextualSpacing w:val="0"/>
        <w:ind w:right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отсутствие критических уязвимостей по результатам экспресс‑аудита.</w:t>
        <w:br/>
        <w:t xml:space="preserve">7.3. При выявлении несоответствий составляется акт с перечнем замечаний и сроками устранения.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713"/>
        <w:contextualSpacing w:val="0"/>
        <w:ind w:left="0" w:right="0" w:firstLine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2"/>
          <w:szCs w:val="22"/>
        </w:rPr>
        <w:t xml:space="preserve">8. Гарантийные обязательства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8.1. Гарантия на выполненные работы — 12 месяцев с даты подписания акта приёмки.</w:t>
        <w:br/>
        <w:t xml:space="preserve">8.2. Гарантия на оборудование — в соответствии с гарантийными обязательствами производителя, но не менее 12 месяцев.</w:t>
        <w:br/>
        <w:t xml:space="preserve">8.3. В гарантийный период Исполнитель обязан устранить неи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справности и заменить вышедшее из строя оборудование за свой счёт.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713"/>
        <w:contextualSpacing w:val="0"/>
        <w:ind w:left="0" w:right="0" w:firstLine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2"/>
          <w:szCs w:val="22"/>
        </w:rPr>
        <w:t xml:space="preserve">9. Нормативные документы и требования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Услуги оказываются в соответствии с: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906"/>
        <w:numPr>
          <w:ilvl w:val="0"/>
          <w:numId w:val="20"/>
        </w:numPr>
        <w:contextualSpacing w:val="0"/>
        <w:ind w:right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Федеральным законом от 07.07.2003 № 126‑ФЗ «О связи»;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906"/>
        <w:numPr>
          <w:ilvl w:val="0"/>
          <w:numId w:val="20"/>
        </w:numPr>
        <w:contextualSpacing w:val="0"/>
        <w:ind w:right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ФЗ‑152 «О персональных данных» (при наличии авторизации с идентификацией);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906"/>
        <w:numPr>
          <w:ilvl w:val="0"/>
          <w:numId w:val="20"/>
        </w:numPr>
        <w:contextualSpacing w:val="0"/>
        <w:ind w:right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техническими регламентами ЕАЭС (ТР ТС 004/2011, ТР ТС 020/2011);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906"/>
        <w:numPr>
          <w:ilvl w:val="0"/>
          <w:numId w:val="20"/>
        </w:numPr>
        <w:contextualSpacing w:val="0"/>
        <w:ind w:right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ПУЭ, СП, СанПиН, требованиями пожарной безопасности и иными обязательными требованиями, действующими на территории РФ;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906"/>
        <w:numPr>
          <w:ilvl w:val="0"/>
          <w:numId w:val="20"/>
        </w:numPr>
        <w:contextualSpacing w:val="0"/>
        <w:ind w:right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внутренними регламентами музея по доступу в помещения и работе подрядчиков (согласование графиков, пропуски, контроль доступа).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713"/>
        <w:contextualSpacing w:val="0"/>
        <w:ind w:left="0" w:right="0" w:firstLine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2"/>
          <w:szCs w:val="22"/>
        </w:rPr>
        <w:t xml:space="preserve">10. Особые условия для музея (учреждения культуры)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contextualSpacing w:val="0"/>
        <w:ind w:left="0" w:right="0" w:firstLine="0"/>
        <w:jc w:val="left"/>
        <w:spacing w:before="0" w:beforeAutospacing="0" w:after="0" w:afterAutospacing="0" w:line="283" w:lineRule="exact"/>
        <w:rPr>
          <w:rFonts w:ascii="Liberation Sans" w:hAnsi="Liberation Sans" w:eastAsia="Liberation Sans" w:cs="Liberation Sans"/>
          <w:color w:val="000000"/>
          <w:sz w:val="22"/>
          <w:szCs w:val="2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10.1. Исполнитель обязан учитывать режим работы музея, график экскурсий, проведение мероприятий, временные выставки для работ по монтажу и настройке оборудования.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br/>
        <w:t xml:space="preserve">10.2. Все изменения в конфигурации сети 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(перемещение точек доступа, изменение SSID, правил фильтрации) согласовываются с ответственным лицом музея.</w:t>
        <w:br/>
        <w:t xml:space="preserve">10.3. Исполнитель предоставляет музею инструкцию по базовому мониторингу и действиям при инцидентах, а также контакты службы поддержки.</w:t>
        <w:br/>
        <w:t xml:space="preserve">10.4. При не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обходимости интеграции с мобильными сервисами музея (аудиогиды, навигация, билеты) — обеспечить выделенную полосу и приоритезацию трафика для этих сервисов.</w:t>
        <w:br/>
        <w:t xml:space="preserve">10.5. Исполнитель должен иметь опыт реализации проектов в учреждениях культуры (музеи, галереи, теа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тры) либо предоставить референсы и план учёта специфики объекта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none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10.6. Исполнитель должен иметь необходимые лицензии на оказание услуг связи (при необходимости) и/или подтверждённые компетенции по поставке и монтажу оборудования.</w:t>
        <w:br/>
        <w:t xml:space="preserve">10.7. Передача персональных данных (если требуется для авторизации) осуществляется в соотве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тствии с ФЗ‑152 «О персональных данных», с соблюдением мер защиты и при наличии правовых оснований.</w:t>
        <w:br/>
        <w:t xml:space="preserve">10.3. Все изменения в конфигурации сети согласовываются с Заказчиком.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contextualSpacing w:val="0"/>
        <w:ind w:left="0" w:right="0" w:firstLine="0"/>
        <w:jc w:val="left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none"/>
        </w:rPr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711"/>
        <w:contextualSpacing w:val="0"/>
        <w:ind w:left="0" w:right="0" w:firstLine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2"/>
          <w:szCs w:val="22"/>
        </w:rPr>
        <w:t xml:space="preserve">Приложения (рекомендуемые)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906"/>
        <w:numPr>
          <w:ilvl w:val="0"/>
          <w:numId w:val="21"/>
        </w:numPr>
        <w:contextualSpacing w:val="0"/>
        <w:ind w:right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Приложение 1: План музея с зонами покрытия и точками установки оборудования.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906"/>
        <w:numPr>
          <w:ilvl w:val="0"/>
          <w:numId w:val="21"/>
        </w:numPr>
        <w:contextualSpacing w:val="0"/>
        <w:ind w:right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Приложение 2: Спецификация оборудования (наименование, модель, количество, характеристики).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906"/>
        <w:numPr>
          <w:ilvl w:val="0"/>
          <w:numId w:val="21"/>
        </w:numPr>
        <w:contextualSpacing w:val="0"/>
        <w:ind w:right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Приложение 3: Форма отчёта по инцидентам и ежемесячного отчёта.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906"/>
        <w:numPr>
          <w:ilvl w:val="0"/>
          <w:numId w:val="21"/>
        </w:numPr>
        <w:contextualSpacing w:val="0"/>
        <w:ind w:right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Приложение 4: Тепловые карты покрытия (по результатам радиообследования).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906"/>
        <w:numPr>
          <w:ilvl w:val="0"/>
          <w:numId w:val="21"/>
        </w:numPr>
        <w:contextualSpacing w:val="0"/>
        <w:ind w:right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Приложение 5: Инструкция для сотрудников музея по работе с Wi‑Fi и обращению в поддержку.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contextualSpacing w:val="0"/>
        <w:jc w:val="both"/>
        <w:spacing w:before="0" w:beforeAutospacing="0" w:after="0" w:afterAutospacing="0" w:line="283" w:lineRule="exact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sectPr>
      <w:headerReference w:type="default" r:id="rId9"/>
      <w:footnotePr/>
      <w:endnotePr/>
      <w:type w:val="continuous"/>
      <w:pgSz w:w="11900" w:h="16840" w:orient="portrait"/>
      <w:pgMar w:top="454" w:right="420" w:bottom="454" w:left="420" w:header="0" w:footer="0" w:gutter="0"/>
      <w:cols w:num="1" w:sep="0" w:space="51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ourier New">
    <w:panose1 w:val="020703090202050204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line="1" w:lineRule="exact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start w:val="0"/>
      <w:numFmt w:val="decimal"/>
      <w:isLgl w:val="false"/>
      <w:suff w:val="tab"/>
      <w:lvlText w:val="·"/>
      <w:lvlJc w:val="left"/>
      <w:pPr/>
    </w:lvl>
    <w:lvl w:ilvl="4">
      <w:start w:val="0"/>
      <w:numFmt w:val="decimal"/>
      <w:isLgl w:val="false"/>
      <w:suff w:val="tab"/>
      <w:lvlText w:val="o"/>
      <w:lvlJc w:val="left"/>
      <w:pPr/>
    </w:lvl>
    <w:lvl w:ilvl="5">
      <w:start w:val="0"/>
      <w:numFmt w:val="decimal"/>
      <w:isLgl w:val="false"/>
      <w:suff w:val="tab"/>
      <w:lvlText w:val="§"/>
      <w:lvlJc w:val="left"/>
      <w:pPr/>
    </w:lvl>
    <w:lvl w:ilvl="6">
      <w:start w:val="0"/>
      <w:numFmt w:val="decimal"/>
      <w:isLgl w:val="false"/>
      <w:suff w:val="tab"/>
      <w:lvlText w:val="·"/>
      <w:lvlJc w:val="left"/>
      <w:pPr/>
    </w:lvl>
    <w:lvl w:ilvl="7">
      <w:start w:val="0"/>
      <w:numFmt w:val="decimal"/>
      <w:isLgl w:val="false"/>
      <w:suff w:val="tab"/>
      <w:lvlText w:val="o"/>
      <w:lvlJc w:val="left"/>
      <w:pPr/>
    </w:lvl>
    <w:lvl w:ilvl="8">
      <w:start w:val="0"/>
      <w:numFmt w:val="decimal"/>
      <w:isLgl w:val="false"/>
      <w:suff w:val="tab"/>
      <w:lvlText w:val="§"/>
      <w:lvlJc w:val="left"/>
      <w:pPr/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start w:val="0"/>
      <w:numFmt w:val="decimal"/>
      <w:isLgl w:val="false"/>
      <w:suff w:val="tab"/>
      <w:lvlText w:val="·"/>
      <w:lvlJc w:val="left"/>
      <w:pPr/>
    </w:lvl>
    <w:lvl w:ilvl="4">
      <w:start w:val="0"/>
      <w:numFmt w:val="decimal"/>
      <w:isLgl w:val="false"/>
      <w:suff w:val="tab"/>
      <w:lvlText w:val="o"/>
      <w:lvlJc w:val="left"/>
      <w:pPr/>
    </w:lvl>
    <w:lvl w:ilvl="5">
      <w:start w:val="0"/>
      <w:numFmt w:val="decimal"/>
      <w:isLgl w:val="false"/>
      <w:suff w:val="tab"/>
      <w:lvlText w:val="§"/>
      <w:lvlJc w:val="left"/>
      <w:pPr/>
    </w:lvl>
    <w:lvl w:ilvl="6">
      <w:start w:val="0"/>
      <w:numFmt w:val="decimal"/>
      <w:isLgl w:val="false"/>
      <w:suff w:val="tab"/>
      <w:lvlText w:val="·"/>
      <w:lvlJc w:val="left"/>
      <w:pPr/>
    </w:lvl>
    <w:lvl w:ilvl="7">
      <w:start w:val="0"/>
      <w:numFmt w:val="decimal"/>
      <w:isLgl w:val="false"/>
      <w:suff w:val="tab"/>
      <w:lvlText w:val="o"/>
      <w:lvlJc w:val="left"/>
      <w:pPr/>
    </w:lvl>
    <w:lvl w:ilvl="8">
      <w:start w:val="0"/>
      <w:numFmt w:val="decimal"/>
      <w:isLgl w:val="false"/>
      <w:suff w:val="tab"/>
      <w:lvlText w:val="§"/>
      <w:lvlJc w:val="left"/>
      <w:pPr/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0"/>
      <w:numFmt w:val="decimal"/>
      <w:isLgl w:val="false"/>
      <w:suff w:val="tab"/>
      <w:lvlText w:val="o"/>
      <w:lvlJc w:val="left"/>
      <w:pPr/>
    </w:lvl>
    <w:lvl w:ilvl="2">
      <w:start w:val="0"/>
      <w:numFmt w:val="decimal"/>
      <w:isLgl w:val="false"/>
      <w:suff w:val="tab"/>
      <w:lvlText w:val="§"/>
      <w:lvlJc w:val="left"/>
      <w:pPr/>
    </w:lvl>
    <w:lvl w:ilvl="3">
      <w:start w:val="0"/>
      <w:numFmt w:val="decimal"/>
      <w:isLgl w:val="false"/>
      <w:suff w:val="tab"/>
      <w:lvlText w:val="·"/>
      <w:lvlJc w:val="left"/>
      <w:pPr/>
    </w:lvl>
    <w:lvl w:ilvl="4">
      <w:start w:val="0"/>
      <w:numFmt w:val="decimal"/>
      <w:isLgl w:val="false"/>
      <w:suff w:val="tab"/>
      <w:lvlText w:val="o"/>
      <w:lvlJc w:val="left"/>
      <w:pPr/>
    </w:lvl>
    <w:lvl w:ilvl="5">
      <w:start w:val="0"/>
      <w:numFmt w:val="decimal"/>
      <w:isLgl w:val="false"/>
      <w:suff w:val="tab"/>
      <w:lvlText w:val="§"/>
      <w:lvlJc w:val="left"/>
      <w:pPr/>
    </w:lvl>
    <w:lvl w:ilvl="6">
      <w:start w:val="0"/>
      <w:numFmt w:val="decimal"/>
      <w:isLgl w:val="false"/>
      <w:suff w:val="tab"/>
      <w:lvlText w:val="·"/>
      <w:lvlJc w:val="left"/>
      <w:pPr/>
    </w:lvl>
    <w:lvl w:ilvl="7">
      <w:start w:val="0"/>
      <w:numFmt w:val="decimal"/>
      <w:isLgl w:val="false"/>
      <w:suff w:val="tab"/>
      <w:lvlText w:val="o"/>
      <w:lvlJc w:val="left"/>
      <w:pPr/>
    </w:lvl>
    <w:lvl w:ilvl="8">
      <w:start w:val="0"/>
      <w:numFmt w:val="decimal"/>
      <w:isLgl w:val="false"/>
      <w:suff w:val="tab"/>
      <w:lvlText w:val="§"/>
      <w:lvlJc w:val="left"/>
      <w:pPr/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0"/>
      <w:numFmt w:val="decimal"/>
      <w:isLgl w:val="false"/>
      <w:suff w:val="tab"/>
      <w:lvlText w:val="o"/>
      <w:lvlJc w:val="left"/>
      <w:pPr/>
    </w:lvl>
    <w:lvl w:ilvl="2">
      <w:start w:val="0"/>
      <w:numFmt w:val="decimal"/>
      <w:isLgl w:val="false"/>
      <w:suff w:val="tab"/>
      <w:lvlText w:val="§"/>
      <w:lvlJc w:val="left"/>
      <w:pPr/>
    </w:lvl>
    <w:lvl w:ilvl="3">
      <w:start w:val="0"/>
      <w:numFmt w:val="decimal"/>
      <w:isLgl w:val="false"/>
      <w:suff w:val="tab"/>
      <w:lvlText w:val="·"/>
      <w:lvlJc w:val="left"/>
      <w:pPr/>
    </w:lvl>
    <w:lvl w:ilvl="4">
      <w:start w:val="0"/>
      <w:numFmt w:val="decimal"/>
      <w:isLgl w:val="false"/>
      <w:suff w:val="tab"/>
      <w:lvlText w:val="o"/>
      <w:lvlJc w:val="left"/>
      <w:pPr/>
    </w:lvl>
    <w:lvl w:ilvl="5">
      <w:start w:val="0"/>
      <w:numFmt w:val="decimal"/>
      <w:isLgl w:val="false"/>
      <w:suff w:val="tab"/>
      <w:lvlText w:val="§"/>
      <w:lvlJc w:val="left"/>
      <w:pPr/>
    </w:lvl>
    <w:lvl w:ilvl="6">
      <w:start w:val="0"/>
      <w:numFmt w:val="decimal"/>
      <w:isLgl w:val="false"/>
      <w:suff w:val="tab"/>
      <w:lvlText w:val="·"/>
      <w:lvlJc w:val="left"/>
      <w:pPr/>
    </w:lvl>
    <w:lvl w:ilvl="7">
      <w:start w:val="0"/>
      <w:numFmt w:val="decimal"/>
      <w:isLgl w:val="false"/>
      <w:suff w:val="tab"/>
      <w:lvlText w:val="o"/>
      <w:lvlJc w:val="left"/>
      <w:pPr/>
    </w:lvl>
    <w:lvl w:ilvl="8">
      <w:start w:val="0"/>
      <w:numFmt w:val="decimal"/>
      <w:isLgl w:val="false"/>
      <w:suff w:val="tab"/>
      <w:lvlText w:val="§"/>
      <w:lvlJc w:val="left"/>
      <w:pPr/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start w:val="0"/>
      <w:numFmt w:val="decimal"/>
      <w:isLgl w:val="false"/>
      <w:suff w:val="tab"/>
      <w:lvlText w:val="·"/>
      <w:lvlJc w:val="left"/>
      <w:pPr>
        <w:ind w:left="0" w:firstLine="0"/>
      </w:pPr>
      <w:rPr>
        <w:rFonts w:hint="default"/>
      </w:rPr>
    </w:lvl>
    <w:lvl w:ilvl="4">
      <w:start w:val="0"/>
      <w:numFmt w:val="decimal"/>
      <w:isLgl w:val="false"/>
      <w:suff w:val="tab"/>
      <w:lvlText w:val="o"/>
      <w:lvlJc w:val="left"/>
      <w:pPr>
        <w:ind w:left="0" w:firstLine="0"/>
      </w:pPr>
      <w:rPr>
        <w:rFonts w:hint="default"/>
      </w:rPr>
    </w:lvl>
    <w:lvl w:ilvl="5">
      <w:start w:val="0"/>
      <w:numFmt w:val="decimal"/>
      <w:isLgl w:val="false"/>
      <w:suff w:val="tab"/>
      <w:lvlText w:val="§"/>
      <w:lvlJc w:val="left"/>
      <w:pPr>
        <w:ind w:left="0" w:firstLine="0"/>
      </w:pPr>
      <w:rPr>
        <w:rFonts w:hint="default"/>
      </w:rPr>
    </w:lvl>
    <w:lvl w:ilvl="6">
      <w:start w:val="0"/>
      <w:numFmt w:val="decimal"/>
      <w:isLgl w:val="false"/>
      <w:suff w:val="tab"/>
      <w:lvlText w:val="·"/>
      <w:lvlJc w:val="left"/>
      <w:pPr>
        <w:ind w:left="0" w:firstLine="0"/>
      </w:pPr>
      <w:rPr>
        <w:rFonts w:hint="default"/>
      </w:rPr>
    </w:lvl>
    <w:lvl w:ilvl="7">
      <w:start w:val="0"/>
      <w:numFmt w:val="decimal"/>
      <w:isLgl w:val="false"/>
      <w:suff w:val="tab"/>
      <w:lvlText w:val="o"/>
      <w:lvlJc w:val="left"/>
      <w:pPr>
        <w:ind w:left="0" w:firstLine="0"/>
      </w:pPr>
      <w:rPr>
        <w:rFonts w:hint="default"/>
      </w:rPr>
    </w:lvl>
    <w:lvl w:ilvl="8">
      <w:start w:val="0"/>
      <w:numFmt w:val="decimal"/>
      <w:isLgl w:val="false"/>
      <w:suff w:val="tab"/>
      <w:lvlText w:val="§"/>
      <w:lvlJc w:val="left"/>
      <w:pPr>
        <w:ind w:left="0" w:firstLine="0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0"/>
      <w:numFmt w:val="decimal"/>
      <w:isLgl w:val="false"/>
      <w:suff w:val="tab"/>
      <w:lvlText w:val="o"/>
      <w:lvlJc w:val="left"/>
      <w:pPr/>
    </w:lvl>
    <w:lvl w:ilvl="2">
      <w:start w:val="0"/>
      <w:numFmt w:val="decimal"/>
      <w:isLgl w:val="false"/>
      <w:suff w:val="tab"/>
      <w:lvlText w:val="§"/>
      <w:lvlJc w:val="left"/>
      <w:pPr/>
    </w:lvl>
    <w:lvl w:ilvl="3">
      <w:start w:val="0"/>
      <w:numFmt w:val="decimal"/>
      <w:isLgl w:val="false"/>
      <w:suff w:val="tab"/>
      <w:lvlText w:val="·"/>
      <w:lvlJc w:val="left"/>
      <w:pPr/>
    </w:lvl>
    <w:lvl w:ilvl="4">
      <w:start w:val="0"/>
      <w:numFmt w:val="decimal"/>
      <w:isLgl w:val="false"/>
      <w:suff w:val="tab"/>
      <w:lvlText w:val="o"/>
      <w:lvlJc w:val="left"/>
      <w:pPr/>
    </w:lvl>
    <w:lvl w:ilvl="5">
      <w:start w:val="0"/>
      <w:numFmt w:val="decimal"/>
      <w:isLgl w:val="false"/>
      <w:suff w:val="tab"/>
      <w:lvlText w:val="§"/>
      <w:lvlJc w:val="left"/>
      <w:pPr/>
    </w:lvl>
    <w:lvl w:ilvl="6">
      <w:start w:val="0"/>
      <w:numFmt w:val="decimal"/>
      <w:isLgl w:val="false"/>
      <w:suff w:val="tab"/>
      <w:lvlText w:val="·"/>
      <w:lvlJc w:val="left"/>
      <w:pPr/>
    </w:lvl>
    <w:lvl w:ilvl="7">
      <w:start w:val="0"/>
      <w:numFmt w:val="decimal"/>
      <w:isLgl w:val="false"/>
      <w:suff w:val="tab"/>
      <w:lvlText w:val="o"/>
      <w:lvlJc w:val="left"/>
      <w:pPr/>
    </w:lvl>
    <w:lvl w:ilvl="8">
      <w:start w:val="0"/>
      <w:numFmt w:val="decimal"/>
      <w:isLgl w:val="false"/>
      <w:suff w:val="tab"/>
      <w:lvlText w:val="§"/>
      <w:lvlJc w:val="left"/>
      <w:pPr/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1.%2."/>
      <w:lvlJc w:val="left"/>
      <w:pPr/>
    </w:lvl>
    <w:lvl w:ilvl="2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start w:val="0"/>
      <w:numFmt w:val="decimal"/>
      <w:isLgl w:val="false"/>
      <w:suff w:val="tab"/>
      <w:lvlText w:val="·"/>
      <w:lvlJc w:val="left"/>
      <w:pPr/>
    </w:lvl>
    <w:lvl w:ilvl="4">
      <w:start w:val="0"/>
      <w:numFmt w:val="decimal"/>
      <w:isLgl w:val="false"/>
      <w:suff w:val="tab"/>
      <w:lvlText w:val="o"/>
      <w:lvlJc w:val="left"/>
      <w:pPr/>
    </w:lvl>
    <w:lvl w:ilvl="5">
      <w:start w:val="0"/>
      <w:numFmt w:val="decimal"/>
      <w:isLgl w:val="false"/>
      <w:suff w:val="tab"/>
      <w:lvlText w:val="§"/>
      <w:lvlJc w:val="left"/>
      <w:pPr/>
    </w:lvl>
    <w:lvl w:ilvl="6">
      <w:start w:val="0"/>
      <w:numFmt w:val="decimal"/>
      <w:isLgl w:val="false"/>
      <w:suff w:val="tab"/>
      <w:lvlText w:val="·"/>
      <w:lvlJc w:val="left"/>
      <w:pPr/>
    </w:lvl>
    <w:lvl w:ilvl="7">
      <w:start w:val="0"/>
      <w:numFmt w:val="decimal"/>
      <w:isLgl w:val="false"/>
      <w:suff w:val="tab"/>
      <w:lvlText w:val="o"/>
      <w:lvlJc w:val="left"/>
      <w:pPr/>
    </w:lvl>
    <w:lvl w:ilvl="8">
      <w:start w:val="0"/>
      <w:numFmt w:val="decimal"/>
      <w:isLgl w:val="false"/>
      <w:suff w:val="tab"/>
      <w:lvlText w:val="§"/>
      <w:lvlJc w:val="left"/>
      <w:pPr/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0"/>
      <w:numFmt w:val="decimal"/>
      <w:isLgl w:val="false"/>
      <w:suff w:val="tab"/>
      <w:lvlText w:val="o"/>
      <w:lvlJc w:val="left"/>
      <w:pPr/>
    </w:lvl>
    <w:lvl w:ilvl="2">
      <w:start w:val="0"/>
      <w:numFmt w:val="decimal"/>
      <w:isLgl w:val="false"/>
      <w:suff w:val="tab"/>
      <w:lvlText w:val="§"/>
      <w:lvlJc w:val="left"/>
      <w:pPr/>
    </w:lvl>
    <w:lvl w:ilvl="3">
      <w:start w:val="0"/>
      <w:numFmt w:val="decimal"/>
      <w:isLgl w:val="false"/>
      <w:suff w:val="tab"/>
      <w:lvlText w:val="·"/>
      <w:lvlJc w:val="left"/>
      <w:pPr/>
    </w:lvl>
    <w:lvl w:ilvl="4">
      <w:start w:val="0"/>
      <w:numFmt w:val="decimal"/>
      <w:isLgl w:val="false"/>
      <w:suff w:val="tab"/>
      <w:lvlText w:val="o"/>
      <w:lvlJc w:val="left"/>
      <w:pPr/>
    </w:lvl>
    <w:lvl w:ilvl="5">
      <w:start w:val="0"/>
      <w:numFmt w:val="decimal"/>
      <w:isLgl w:val="false"/>
      <w:suff w:val="tab"/>
      <w:lvlText w:val="§"/>
      <w:lvlJc w:val="left"/>
      <w:pPr/>
    </w:lvl>
    <w:lvl w:ilvl="6">
      <w:start w:val="0"/>
      <w:numFmt w:val="decimal"/>
      <w:isLgl w:val="false"/>
      <w:suff w:val="tab"/>
      <w:lvlText w:val="·"/>
      <w:lvlJc w:val="left"/>
      <w:pPr/>
    </w:lvl>
    <w:lvl w:ilvl="7">
      <w:start w:val="0"/>
      <w:numFmt w:val="decimal"/>
      <w:isLgl w:val="false"/>
      <w:suff w:val="tab"/>
      <w:lvlText w:val="o"/>
      <w:lvlJc w:val="left"/>
      <w:pPr/>
    </w:lvl>
    <w:lvl w:ilvl="8">
      <w:start w:val="0"/>
      <w:numFmt w:val="decimal"/>
      <w:isLgl w:val="false"/>
      <w:suff w:val="tab"/>
      <w:lvlText w:val="§"/>
      <w:lvlJc w:val="left"/>
      <w:pPr/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0"/>
      <w:numFmt w:val="decimal"/>
      <w:isLgl w:val="false"/>
      <w:suff w:val="tab"/>
      <w:lvlText w:val="o"/>
      <w:lvlJc w:val="left"/>
      <w:pPr/>
    </w:lvl>
    <w:lvl w:ilvl="2">
      <w:start w:val="0"/>
      <w:numFmt w:val="decimal"/>
      <w:isLgl w:val="false"/>
      <w:suff w:val="tab"/>
      <w:lvlText w:val="§"/>
      <w:lvlJc w:val="left"/>
      <w:pPr/>
    </w:lvl>
    <w:lvl w:ilvl="3">
      <w:start w:val="0"/>
      <w:numFmt w:val="decimal"/>
      <w:isLgl w:val="false"/>
      <w:suff w:val="tab"/>
      <w:lvlText w:val="·"/>
      <w:lvlJc w:val="left"/>
      <w:pPr/>
    </w:lvl>
    <w:lvl w:ilvl="4">
      <w:start w:val="0"/>
      <w:numFmt w:val="decimal"/>
      <w:isLgl w:val="false"/>
      <w:suff w:val="tab"/>
      <w:lvlText w:val="o"/>
      <w:lvlJc w:val="left"/>
      <w:pPr/>
    </w:lvl>
    <w:lvl w:ilvl="5">
      <w:start w:val="0"/>
      <w:numFmt w:val="decimal"/>
      <w:isLgl w:val="false"/>
      <w:suff w:val="tab"/>
      <w:lvlText w:val="§"/>
      <w:lvlJc w:val="left"/>
      <w:pPr/>
    </w:lvl>
    <w:lvl w:ilvl="6">
      <w:start w:val="0"/>
      <w:numFmt w:val="decimal"/>
      <w:isLgl w:val="false"/>
      <w:suff w:val="tab"/>
      <w:lvlText w:val="·"/>
      <w:lvlJc w:val="left"/>
      <w:pPr/>
    </w:lvl>
    <w:lvl w:ilvl="7">
      <w:start w:val="0"/>
      <w:numFmt w:val="decimal"/>
      <w:isLgl w:val="false"/>
      <w:suff w:val="tab"/>
      <w:lvlText w:val="o"/>
      <w:lvlJc w:val="left"/>
      <w:pPr/>
    </w:lvl>
    <w:lvl w:ilvl="8">
      <w:start w:val="0"/>
      <w:numFmt w:val="decimal"/>
      <w:isLgl w:val="false"/>
      <w:suff w:val="tab"/>
      <w:lvlText w:val="§"/>
      <w:lvlJc w:val="left"/>
      <w:pPr/>
    </w:lvl>
  </w:abstractNum>
  <w:abstractNum w:abstractNumId="9">
    <w:multiLevelType w:val="hybridMultilevel"/>
    <w:lvl w:ilvl="0">
      <w:start w:val="3"/>
      <w:numFmt w:val="decimal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isLgl w:val="false"/>
      <w:suff w:val="tab"/>
      <w:lvlText w:val="%1.%2.%3."/>
      <w:lvlJc w:val="left"/>
      <w:pPr/>
    </w:lvl>
    <w:lvl w:ilvl="3">
      <w:start w:val="0"/>
      <w:numFmt w:val="decimal"/>
      <w:isLgl w:val="false"/>
      <w:suff w:val="tab"/>
      <w:lvlText w:val="·"/>
      <w:lvlJc w:val="left"/>
      <w:pPr/>
    </w:lvl>
    <w:lvl w:ilvl="4">
      <w:start w:val="0"/>
      <w:numFmt w:val="decimal"/>
      <w:isLgl w:val="false"/>
      <w:suff w:val="tab"/>
      <w:lvlText w:val="o"/>
      <w:lvlJc w:val="left"/>
      <w:pPr/>
    </w:lvl>
    <w:lvl w:ilvl="5">
      <w:start w:val="0"/>
      <w:numFmt w:val="decimal"/>
      <w:isLgl w:val="false"/>
      <w:suff w:val="tab"/>
      <w:lvlText w:val="§"/>
      <w:lvlJc w:val="left"/>
      <w:pPr/>
    </w:lvl>
    <w:lvl w:ilvl="6">
      <w:start w:val="0"/>
      <w:numFmt w:val="decimal"/>
      <w:isLgl w:val="false"/>
      <w:suff w:val="tab"/>
      <w:lvlText w:val="·"/>
      <w:lvlJc w:val="left"/>
      <w:pPr/>
    </w:lvl>
    <w:lvl w:ilvl="7">
      <w:start w:val="0"/>
      <w:numFmt w:val="decimal"/>
      <w:isLgl w:val="false"/>
      <w:suff w:val="tab"/>
      <w:lvlText w:val="o"/>
      <w:lvlJc w:val="left"/>
      <w:pPr/>
    </w:lvl>
    <w:lvl w:ilvl="8">
      <w:start w:val="0"/>
      <w:numFmt w:val="decimal"/>
      <w:isLgl w:val="false"/>
      <w:suff w:val="tab"/>
      <w:lvlText w:val="§"/>
      <w:lvlJc w:val="left"/>
      <w:pPr/>
    </w:lvl>
  </w:abstractNum>
  <w:abstractNum w:abstractNumId="10">
    <w:multiLevelType w:val="hybridMultilevel"/>
    <w:lvl w:ilvl="0">
      <w:start w:val="4"/>
      <w:numFmt w:val="decimal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0"/>
      <w:numFmt w:val="decimal"/>
      <w:isLgl w:val="false"/>
      <w:suff w:val="tab"/>
      <w:lvlText w:val="§"/>
      <w:lvlJc w:val="left"/>
      <w:pPr/>
    </w:lvl>
    <w:lvl w:ilvl="3">
      <w:start w:val="0"/>
      <w:numFmt w:val="decimal"/>
      <w:isLgl w:val="false"/>
      <w:suff w:val="tab"/>
      <w:lvlText w:val="·"/>
      <w:lvlJc w:val="left"/>
      <w:pPr/>
    </w:lvl>
    <w:lvl w:ilvl="4">
      <w:start w:val="0"/>
      <w:numFmt w:val="decimal"/>
      <w:isLgl w:val="false"/>
      <w:suff w:val="tab"/>
      <w:lvlText w:val="o"/>
      <w:lvlJc w:val="left"/>
      <w:pPr/>
    </w:lvl>
    <w:lvl w:ilvl="5">
      <w:start w:val="0"/>
      <w:numFmt w:val="decimal"/>
      <w:isLgl w:val="false"/>
      <w:suff w:val="tab"/>
      <w:lvlText w:val="§"/>
      <w:lvlJc w:val="left"/>
      <w:pPr/>
    </w:lvl>
    <w:lvl w:ilvl="6">
      <w:start w:val="0"/>
      <w:numFmt w:val="decimal"/>
      <w:isLgl w:val="false"/>
      <w:suff w:val="tab"/>
      <w:lvlText w:val="·"/>
      <w:lvlJc w:val="left"/>
      <w:pPr/>
    </w:lvl>
    <w:lvl w:ilvl="7">
      <w:start w:val="0"/>
      <w:numFmt w:val="decimal"/>
      <w:isLgl w:val="false"/>
      <w:suff w:val="tab"/>
      <w:lvlText w:val="o"/>
      <w:lvlJc w:val="left"/>
      <w:pPr/>
    </w:lvl>
    <w:lvl w:ilvl="8">
      <w:start w:val="0"/>
      <w:numFmt w:val="decimal"/>
      <w:isLgl w:val="false"/>
      <w:suff w:val="tab"/>
      <w:lvlText w:val="§"/>
      <w:lvlJc w:val="left"/>
      <w:pPr/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0"/>
  </w:num>
  <w:num w:numId="5">
    <w:abstractNumId w:val="10"/>
  </w:num>
  <w:num w:numId="6">
    <w:abstractNumId w:val="4"/>
  </w:num>
  <w:num w:numId="7">
    <w:abstractNumId w:val="5"/>
  </w:num>
  <w:num w:numId="8">
    <w:abstractNumId w:val="8"/>
  </w:num>
  <w:num w:numId="9">
    <w:abstractNumId w:val="2"/>
  </w:num>
  <w:num w:numId="10">
    <w:abstractNumId w:val="7"/>
  </w:num>
  <w:num w:numId="11">
    <w:abstractNumId w:val="3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ourier New" w:hAnsi="Courier New" w:eastAsia="Courier New" w:cs="Courier New"/>
        <w:sz w:val="24"/>
        <w:szCs w:val="24"/>
        <w:lang w:val="ru-RU" w:eastAsia="ru-RU" w:bidi="ru-RU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9">
    <w:name w:val="Heading 1"/>
    <w:basedOn w:val="882"/>
    <w:next w:val="882"/>
    <w:link w:val="71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0">
    <w:name w:val="Heading 1 Char"/>
    <w:basedOn w:val="883"/>
    <w:link w:val="709"/>
    <w:uiPriority w:val="9"/>
    <w:rPr>
      <w:rFonts w:ascii="Arial" w:hAnsi="Arial" w:eastAsia="Arial" w:cs="Arial"/>
      <w:sz w:val="40"/>
      <w:szCs w:val="40"/>
    </w:rPr>
  </w:style>
  <w:style w:type="paragraph" w:styleId="711">
    <w:name w:val="Heading 2"/>
    <w:basedOn w:val="882"/>
    <w:next w:val="882"/>
    <w:link w:val="71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2">
    <w:name w:val="Heading 2 Char"/>
    <w:basedOn w:val="883"/>
    <w:link w:val="711"/>
    <w:uiPriority w:val="9"/>
    <w:rPr>
      <w:rFonts w:ascii="Arial" w:hAnsi="Arial" w:eastAsia="Arial" w:cs="Arial"/>
      <w:sz w:val="34"/>
    </w:rPr>
  </w:style>
  <w:style w:type="paragraph" w:styleId="713">
    <w:name w:val="Heading 3"/>
    <w:basedOn w:val="882"/>
    <w:next w:val="882"/>
    <w:link w:val="71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4">
    <w:name w:val="Heading 3 Char"/>
    <w:basedOn w:val="883"/>
    <w:link w:val="713"/>
    <w:uiPriority w:val="9"/>
    <w:rPr>
      <w:rFonts w:ascii="Arial" w:hAnsi="Arial" w:eastAsia="Arial" w:cs="Arial"/>
      <w:sz w:val="30"/>
      <w:szCs w:val="30"/>
    </w:rPr>
  </w:style>
  <w:style w:type="paragraph" w:styleId="715">
    <w:name w:val="Heading 4"/>
    <w:basedOn w:val="882"/>
    <w:next w:val="882"/>
    <w:link w:val="71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6">
    <w:name w:val="Heading 4 Char"/>
    <w:basedOn w:val="883"/>
    <w:link w:val="715"/>
    <w:uiPriority w:val="9"/>
    <w:rPr>
      <w:rFonts w:ascii="Arial" w:hAnsi="Arial" w:eastAsia="Arial" w:cs="Arial"/>
      <w:b/>
      <w:bCs/>
      <w:sz w:val="26"/>
      <w:szCs w:val="26"/>
    </w:rPr>
  </w:style>
  <w:style w:type="paragraph" w:styleId="717">
    <w:name w:val="Heading 5"/>
    <w:basedOn w:val="882"/>
    <w:next w:val="882"/>
    <w:link w:val="71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8">
    <w:name w:val="Heading 5 Char"/>
    <w:basedOn w:val="883"/>
    <w:link w:val="717"/>
    <w:uiPriority w:val="9"/>
    <w:rPr>
      <w:rFonts w:ascii="Arial" w:hAnsi="Arial" w:eastAsia="Arial" w:cs="Arial"/>
      <w:b/>
      <w:bCs/>
      <w:sz w:val="24"/>
      <w:szCs w:val="24"/>
    </w:rPr>
  </w:style>
  <w:style w:type="paragraph" w:styleId="719">
    <w:name w:val="Heading 6"/>
    <w:basedOn w:val="882"/>
    <w:next w:val="882"/>
    <w:link w:val="72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0">
    <w:name w:val="Heading 6 Char"/>
    <w:basedOn w:val="883"/>
    <w:link w:val="719"/>
    <w:uiPriority w:val="9"/>
    <w:rPr>
      <w:rFonts w:ascii="Arial" w:hAnsi="Arial" w:eastAsia="Arial" w:cs="Arial"/>
      <w:b/>
      <w:bCs/>
      <w:sz w:val="22"/>
      <w:szCs w:val="22"/>
    </w:rPr>
  </w:style>
  <w:style w:type="paragraph" w:styleId="721">
    <w:name w:val="Heading 7"/>
    <w:basedOn w:val="882"/>
    <w:next w:val="882"/>
    <w:link w:val="72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2">
    <w:name w:val="Heading 7 Char"/>
    <w:basedOn w:val="883"/>
    <w:link w:val="72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3">
    <w:name w:val="Heading 8"/>
    <w:basedOn w:val="882"/>
    <w:next w:val="882"/>
    <w:link w:val="72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4">
    <w:name w:val="Heading 8 Char"/>
    <w:basedOn w:val="883"/>
    <w:link w:val="723"/>
    <w:uiPriority w:val="9"/>
    <w:rPr>
      <w:rFonts w:ascii="Arial" w:hAnsi="Arial" w:eastAsia="Arial" w:cs="Arial"/>
      <w:i/>
      <w:iCs/>
      <w:sz w:val="22"/>
      <w:szCs w:val="22"/>
    </w:rPr>
  </w:style>
  <w:style w:type="paragraph" w:styleId="725">
    <w:name w:val="Heading 9"/>
    <w:basedOn w:val="882"/>
    <w:next w:val="882"/>
    <w:link w:val="72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6">
    <w:name w:val="Heading 9 Char"/>
    <w:basedOn w:val="883"/>
    <w:link w:val="725"/>
    <w:uiPriority w:val="9"/>
    <w:rPr>
      <w:rFonts w:ascii="Arial" w:hAnsi="Arial" w:eastAsia="Arial" w:cs="Arial"/>
      <w:i/>
      <w:iCs/>
      <w:sz w:val="21"/>
      <w:szCs w:val="21"/>
    </w:rPr>
  </w:style>
  <w:style w:type="paragraph" w:styleId="727">
    <w:name w:val="No Spacing"/>
    <w:uiPriority w:val="1"/>
    <w:qFormat/>
    <w:pPr>
      <w:spacing w:before="0" w:after="0" w:line="240" w:lineRule="auto"/>
    </w:pPr>
  </w:style>
  <w:style w:type="paragraph" w:styleId="728">
    <w:name w:val="Title"/>
    <w:basedOn w:val="882"/>
    <w:next w:val="882"/>
    <w:link w:val="72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9">
    <w:name w:val="Title Char"/>
    <w:basedOn w:val="883"/>
    <w:link w:val="728"/>
    <w:uiPriority w:val="10"/>
    <w:rPr>
      <w:sz w:val="48"/>
      <w:szCs w:val="48"/>
    </w:rPr>
  </w:style>
  <w:style w:type="paragraph" w:styleId="730">
    <w:name w:val="Subtitle"/>
    <w:basedOn w:val="882"/>
    <w:next w:val="882"/>
    <w:link w:val="731"/>
    <w:uiPriority w:val="11"/>
    <w:qFormat/>
    <w:pPr>
      <w:spacing w:before="200" w:after="200"/>
    </w:pPr>
    <w:rPr>
      <w:sz w:val="24"/>
      <w:szCs w:val="24"/>
    </w:rPr>
  </w:style>
  <w:style w:type="character" w:styleId="731">
    <w:name w:val="Subtitle Char"/>
    <w:basedOn w:val="883"/>
    <w:link w:val="730"/>
    <w:uiPriority w:val="11"/>
    <w:rPr>
      <w:sz w:val="24"/>
      <w:szCs w:val="24"/>
    </w:rPr>
  </w:style>
  <w:style w:type="paragraph" w:styleId="732">
    <w:name w:val="Quote"/>
    <w:basedOn w:val="882"/>
    <w:next w:val="882"/>
    <w:link w:val="733"/>
    <w:uiPriority w:val="29"/>
    <w:qFormat/>
    <w:pPr>
      <w:ind w:left="720" w:right="720"/>
    </w:pPr>
    <w:rPr>
      <w:i/>
    </w:rPr>
  </w:style>
  <w:style w:type="character" w:styleId="733">
    <w:name w:val="Quote Char"/>
    <w:link w:val="732"/>
    <w:uiPriority w:val="29"/>
    <w:rPr>
      <w:i/>
    </w:rPr>
  </w:style>
  <w:style w:type="paragraph" w:styleId="734">
    <w:name w:val="Intense Quote"/>
    <w:basedOn w:val="882"/>
    <w:next w:val="882"/>
    <w:link w:val="7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5">
    <w:name w:val="Intense Quote Char"/>
    <w:link w:val="734"/>
    <w:uiPriority w:val="30"/>
    <w:rPr>
      <w:i/>
    </w:rPr>
  </w:style>
  <w:style w:type="character" w:styleId="736">
    <w:name w:val="Header Char"/>
    <w:basedOn w:val="883"/>
    <w:link w:val="902"/>
    <w:uiPriority w:val="99"/>
  </w:style>
  <w:style w:type="character" w:styleId="737">
    <w:name w:val="Footer Char"/>
    <w:basedOn w:val="883"/>
    <w:link w:val="904"/>
    <w:uiPriority w:val="99"/>
  </w:style>
  <w:style w:type="paragraph" w:styleId="738">
    <w:name w:val="Caption"/>
    <w:basedOn w:val="882"/>
    <w:next w:val="882"/>
    <w:link w:val="73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9">
    <w:name w:val="Caption Char"/>
    <w:basedOn w:val="883"/>
    <w:link w:val="738"/>
    <w:uiPriority w:val="35"/>
    <w:rPr>
      <w:b/>
      <w:bCs/>
      <w:color w:val="4f81bd" w:themeColor="accent1"/>
      <w:sz w:val="18"/>
      <w:szCs w:val="18"/>
    </w:rPr>
  </w:style>
  <w:style w:type="table" w:styleId="740">
    <w:name w:val="Table Grid Light"/>
    <w:basedOn w:val="88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1">
    <w:name w:val="Plain Table 1"/>
    <w:basedOn w:val="88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2">
    <w:name w:val="Plain Table 2"/>
    <w:basedOn w:val="88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3">
    <w:name w:val="Plain Table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4">
    <w:name w:val="Plain Table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Plain Table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6">
    <w:name w:val="Grid Table 1 Light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4"/>
    <w:basedOn w:val="8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8">
    <w:name w:val="Grid Table 4 - Accent 1"/>
    <w:basedOn w:val="8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9">
    <w:name w:val="Grid Table 4 - Accent 2"/>
    <w:basedOn w:val="8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0">
    <w:name w:val="Grid Table 4 - Accent 3"/>
    <w:basedOn w:val="8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1">
    <w:name w:val="Grid Table 4 - Accent 4"/>
    <w:basedOn w:val="8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2">
    <w:name w:val="Grid Table 4 - Accent 5"/>
    <w:basedOn w:val="8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3">
    <w:name w:val="Grid Table 4 - Accent 6"/>
    <w:basedOn w:val="8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4">
    <w:name w:val="Grid Table 5 Dark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5">
    <w:name w:val="Grid Table 5 Dark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8">
    <w:name w:val="Grid Table 5 Dark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9">
    <w:name w:val="Grid Table 5 Dark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80">
    <w:name w:val="Grid Table 5 Dark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81">
    <w:name w:val="Grid Table 6 Colorful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2">
    <w:name w:val="Grid Table 6 Colorful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3">
    <w:name w:val="Grid Table 6 Colorful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4">
    <w:name w:val="Grid Table 6 Colorful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5">
    <w:name w:val="Grid Table 6 Colorful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6">
    <w:name w:val="Grid Table 6 Colorful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7">
    <w:name w:val="Grid Table 6 Colorful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8">
    <w:name w:val="Grid Table 7 Colorful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3">
    <w:name w:val="List Table 2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4">
    <w:name w:val="List Table 2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5">
    <w:name w:val="List Table 2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6">
    <w:name w:val="List Table 2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7">
    <w:name w:val="List Table 2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8">
    <w:name w:val="List Table 2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9">
    <w:name w:val="List Table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5 Dark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6 Colorful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1">
    <w:name w:val="List Table 6 Colorful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2">
    <w:name w:val="List Table 6 Colorful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3">
    <w:name w:val="List Table 6 Colorful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4">
    <w:name w:val="List Table 6 Colorful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5">
    <w:name w:val="List Table 6 Colorful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6">
    <w:name w:val="List Table 6 Colorful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7">
    <w:name w:val="List Table 7 Colorful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8">
    <w:name w:val="List Table 7 Colorful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9">
    <w:name w:val="List Table 7 Colorful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40">
    <w:name w:val="List Table 7 Colorful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41">
    <w:name w:val="List Table 7 Colorful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42">
    <w:name w:val="List Table 7 Colorful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43">
    <w:name w:val="List Table 7 Colorful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44">
    <w:name w:val="Lined - Accent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5">
    <w:name w:val="Lined - Accent 1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6">
    <w:name w:val="Lined - Accent 2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7">
    <w:name w:val="Lined - Accent 3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8">
    <w:name w:val="Lined - Accent 4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9">
    <w:name w:val="Lined - Accent 5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0">
    <w:name w:val="Lined - Accent 6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1">
    <w:name w:val="Bordered &amp; Lined - Accent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2">
    <w:name w:val="Bordered &amp; Lined - Accent 1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3">
    <w:name w:val="Bordered &amp; Lined - Accent 2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4">
    <w:name w:val="Bordered &amp; Lined - Accent 3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5">
    <w:name w:val="Bordered &amp; Lined - Accent 4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6">
    <w:name w:val="Bordered &amp; Lined - Accent 5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7">
    <w:name w:val="Bordered &amp; Lined - Accent 6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8">
    <w:name w:val="Bordered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9">
    <w:name w:val="Bordered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0">
    <w:name w:val="Bordered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1">
    <w:name w:val="Bordered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2">
    <w:name w:val="Bordered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3">
    <w:name w:val="Bordered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4">
    <w:name w:val="Bordered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5">
    <w:name w:val="footnote text"/>
    <w:basedOn w:val="882"/>
    <w:link w:val="866"/>
    <w:uiPriority w:val="99"/>
    <w:semiHidden/>
    <w:unhideWhenUsed/>
    <w:pPr>
      <w:spacing w:after="40" w:line="240" w:lineRule="auto"/>
    </w:pPr>
    <w:rPr>
      <w:sz w:val="18"/>
    </w:rPr>
  </w:style>
  <w:style w:type="character" w:styleId="866">
    <w:name w:val="Footnote Text Char"/>
    <w:link w:val="865"/>
    <w:uiPriority w:val="99"/>
    <w:rPr>
      <w:sz w:val="18"/>
    </w:rPr>
  </w:style>
  <w:style w:type="character" w:styleId="867">
    <w:name w:val="footnote reference"/>
    <w:basedOn w:val="883"/>
    <w:uiPriority w:val="99"/>
    <w:unhideWhenUsed/>
    <w:rPr>
      <w:vertAlign w:val="superscript"/>
    </w:rPr>
  </w:style>
  <w:style w:type="paragraph" w:styleId="868">
    <w:name w:val="endnote text"/>
    <w:basedOn w:val="882"/>
    <w:link w:val="869"/>
    <w:uiPriority w:val="99"/>
    <w:semiHidden/>
    <w:unhideWhenUsed/>
    <w:pPr>
      <w:spacing w:after="0" w:line="240" w:lineRule="auto"/>
    </w:pPr>
    <w:rPr>
      <w:sz w:val="20"/>
    </w:rPr>
  </w:style>
  <w:style w:type="character" w:styleId="869">
    <w:name w:val="Endnote Text Char"/>
    <w:link w:val="868"/>
    <w:uiPriority w:val="99"/>
    <w:rPr>
      <w:sz w:val="20"/>
    </w:rPr>
  </w:style>
  <w:style w:type="character" w:styleId="870">
    <w:name w:val="endnote reference"/>
    <w:basedOn w:val="883"/>
    <w:uiPriority w:val="99"/>
    <w:semiHidden/>
    <w:unhideWhenUsed/>
    <w:rPr>
      <w:vertAlign w:val="superscript"/>
    </w:rPr>
  </w:style>
  <w:style w:type="paragraph" w:styleId="871">
    <w:name w:val="toc 1"/>
    <w:basedOn w:val="882"/>
    <w:next w:val="882"/>
    <w:uiPriority w:val="39"/>
    <w:unhideWhenUsed/>
    <w:pPr>
      <w:ind w:left="0" w:right="0" w:firstLine="0"/>
      <w:spacing w:after="57"/>
    </w:pPr>
  </w:style>
  <w:style w:type="paragraph" w:styleId="872">
    <w:name w:val="toc 2"/>
    <w:basedOn w:val="882"/>
    <w:next w:val="882"/>
    <w:uiPriority w:val="39"/>
    <w:unhideWhenUsed/>
    <w:pPr>
      <w:ind w:left="283" w:right="0" w:firstLine="0"/>
      <w:spacing w:after="57"/>
    </w:pPr>
  </w:style>
  <w:style w:type="paragraph" w:styleId="873">
    <w:name w:val="toc 3"/>
    <w:basedOn w:val="882"/>
    <w:next w:val="882"/>
    <w:uiPriority w:val="39"/>
    <w:unhideWhenUsed/>
    <w:pPr>
      <w:ind w:left="567" w:right="0" w:firstLine="0"/>
      <w:spacing w:after="57"/>
    </w:pPr>
  </w:style>
  <w:style w:type="paragraph" w:styleId="874">
    <w:name w:val="toc 4"/>
    <w:basedOn w:val="882"/>
    <w:next w:val="882"/>
    <w:uiPriority w:val="39"/>
    <w:unhideWhenUsed/>
    <w:pPr>
      <w:ind w:left="850" w:right="0" w:firstLine="0"/>
      <w:spacing w:after="57"/>
    </w:pPr>
  </w:style>
  <w:style w:type="paragraph" w:styleId="875">
    <w:name w:val="toc 5"/>
    <w:basedOn w:val="882"/>
    <w:next w:val="882"/>
    <w:uiPriority w:val="39"/>
    <w:unhideWhenUsed/>
    <w:pPr>
      <w:ind w:left="1134" w:right="0" w:firstLine="0"/>
      <w:spacing w:after="57"/>
    </w:pPr>
  </w:style>
  <w:style w:type="paragraph" w:styleId="876">
    <w:name w:val="toc 6"/>
    <w:basedOn w:val="882"/>
    <w:next w:val="882"/>
    <w:uiPriority w:val="39"/>
    <w:unhideWhenUsed/>
    <w:pPr>
      <w:ind w:left="1417" w:right="0" w:firstLine="0"/>
      <w:spacing w:after="57"/>
    </w:pPr>
  </w:style>
  <w:style w:type="paragraph" w:styleId="877">
    <w:name w:val="toc 7"/>
    <w:basedOn w:val="882"/>
    <w:next w:val="882"/>
    <w:uiPriority w:val="39"/>
    <w:unhideWhenUsed/>
    <w:pPr>
      <w:ind w:left="1701" w:right="0" w:firstLine="0"/>
      <w:spacing w:after="57"/>
    </w:pPr>
  </w:style>
  <w:style w:type="paragraph" w:styleId="878">
    <w:name w:val="toc 8"/>
    <w:basedOn w:val="882"/>
    <w:next w:val="882"/>
    <w:uiPriority w:val="39"/>
    <w:unhideWhenUsed/>
    <w:pPr>
      <w:ind w:left="1984" w:right="0" w:firstLine="0"/>
      <w:spacing w:after="57"/>
    </w:pPr>
  </w:style>
  <w:style w:type="paragraph" w:styleId="879">
    <w:name w:val="toc 9"/>
    <w:basedOn w:val="882"/>
    <w:next w:val="882"/>
    <w:uiPriority w:val="39"/>
    <w:unhideWhenUsed/>
    <w:pPr>
      <w:ind w:left="2268" w:right="0" w:firstLine="0"/>
      <w:spacing w:after="57"/>
    </w:pPr>
  </w:style>
  <w:style w:type="paragraph" w:styleId="880">
    <w:name w:val="TOC Heading"/>
    <w:uiPriority w:val="39"/>
    <w:unhideWhenUsed/>
  </w:style>
  <w:style w:type="paragraph" w:styleId="881">
    <w:name w:val="table of figures"/>
    <w:basedOn w:val="882"/>
    <w:next w:val="882"/>
    <w:uiPriority w:val="99"/>
    <w:unhideWhenUsed/>
    <w:pPr>
      <w:spacing w:after="0" w:afterAutospacing="0"/>
    </w:pPr>
  </w:style>
  <w:style w:type="paragraph" w:styleId="882" w:default="1">
    <w:name w:val="Normal"/>
    <w:rPr>
      <w:color w:val="000000"/>
    </w:rPr>
  </w:style>
  <w:style w:type="character" w:styleId="883" w:default="1">
    <w:name w:val="Default Paragraph Font"/>
    <w:uiPriority w:val="1"/>
    <w:semiHidden/>
    <w:unhideWhenUsed/>
  </w:style>
  <w:style w:type="table" w:styleId="88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5" w:default="1">
    <w:name w:val="No List"/>
    <w:uiPriority w:val="99"/>
    <w:semiHidden/>
    <w:unhideWhenUsed/>
  </w:style>
  <w:style w:type="character" w:styleId="886" w:customStyle="1">
    <w:name w:val="Основной текст (2)_"/>
    <w:basedOn w:val="883"/>
    <w:link w:val="893"/>
    <w:rPr>
      <w:rFonts w:ascii="Arial" w:hAnsi="Arial" w:eastAsia="Arial" w:cs="Arial"/>
      <w:b w:val="0"/>
      <w:bCs w:val="0"/>
      <w:i w:val="0"/>
      <w:iCs w:val="0"/>
      <w:smallCaps w:val="0"/>
      <w:strike w:val="0"/>
      <w:color w:val="7800ff"/>
      <w:sz w:val="18"/>
      <w:szCs w:val="18"/>
      <w:u w:val="single"/>
    </w:rPr>
  </w:style>
  <w:style w:type="character" w:styleId="887" w:customStyle="1">
    <w:name w:val="Заголовок №1_"/>
    <w:basedOn w:val="883"/>
    <w:link w:val="894"/>
    <w:rPr>
      <w:rFonts w:ascii="Arial" w:hAnsi="Arial" w:eastAsia="Arial" w:cs="Arial"/>
      <w:b w:val="0"/>
      <w:bCs w:val="0"/>
      <w:i w:val="0"/>
      <w:iCs w:val="0"/>
      <w:smallCaps w:val="0"/>
      <w:strike w:val="0"/>
      <w:color w:val="101727"/>
      <w:u w:val="none"/>
    </w:rPr>
  </w:style>
  <w:style w:type="character" w:styleId="888" w:customStyle="1">
    <w:name w:val="Заголовок №2_"/>
    <w:basedOn w:val="883"/>
    <w:link w:val="895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styleId="889" w:customStyle="1">
    <w:name w:val="Основной текст_"/>
    <w:basedOn w:val="883"/>
    <w:link w:val="896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styleId="890" w:customStyle="1">
    <w:name w:val="Основной текст (3)_"/>
    <w:basedOn w:val="883"/>
    <w:link w:val="897"/>
    <w:rPr>
      <w:rFonts w:ascii="Times New Roman" w:hAnsi="Times New Roman" w:eastAsia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styleId="891" w:customStyle="1">
    <w:name w:val="Подпись к таблице_"/>
    <w:basedOn w:val="883"/>
    <w:link w:val="898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styleId="892" w:customStyle="1">
    <w:name w:val="Другое_"/>
    <w:basedOn w:val="883"/>
    <w:link w:val="899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styleId="893" w:customStyle="1">
    <w:name w:val="Основной текст (2)"/>
    <w:basedOn w:val="882"/>
    <w:link w:val="886"/>
    <w:pPr>
      <w:spacing w:line="290" w:lineRule="auto"/>
    </w:pPr>
    <w:rPr>
      <w:rFonts w:ascii="Arial" w:hAnsi="Arial" w:eastAsia="Arial" w:cs="Arial"/>
      <w:color w:val="7800ff"/>
      <w:sz w:val="18"/>
      <w:szCs w:val="18"/>
      <w:u w:val="single"/>
    </w:rPr>
  </w:style>
  <w:style w:type="paragraph" w:styleId="894" w:customStyle="1">
    <w:name w:val="Заголовок №1"/>
    <w:basedOn w:val="882"/>
    <w:link w:val="887"/>
    <w:pPr>
      <w:spacing w:before="120" w:after="220"/>
      <w:outlineLvl w:val="0"/>
    </w:pPr>
    <w:rPr>
      <w:rFonts w:ascii="Arial" w:hAnsi="Arial" w:eastAsia="Arial" w:cs="Arial"/>
      <w:color w:val="101727"/>
    </w:rPr>
  </w:style>
  <w:style w:type="paragraph" w:styleId="895" w:customStyle="1">
    <w:name w:val="Заголовок №2"/>
    <w:basedOn w:val="882"/>
    <w:link w:val="888"/>
    <w:pPr>
      <w:jc w:val="center"/>
      <w:spacing w:line="314" w:lineRule="auto"/>
      <w:outlineLvl w:val="1"/>
    </w:pPr>
    <w:rPr>
      <w:rFonts w:ascii="Times New Roman" w:hAnsi="Times New Roman" w:eastAsia="Times New Roman" w:cs="Times New Roman"/>
      <w:b/>
      <w:bCs/>
      <w:sz w:val="20"/>
      <w:szCs w:val="20"/>
    </w:rPr>
  </w:style>
  <w:style w:type="paragraph" w:styleId="896" w:customStyle="1">
    <w:name w:val="Основной текст1"/>
    <w:basedOn w:val="882"/>
    <w:link w:val="889"/>
    <w:pPr>
      <w:spacing w:line="314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897" w:customStyle="1">
    <w:name w:val="Основной текст (3)"/>
    <w:basedOn w:val="882"/>
    <w:link w:val="890"/>
    <w:rPr>
      <w:rFonts w:ascii="Times New Roman" w:hAnsi="Times New Roman" w:eastAsia="Times New Roman" w:cs="Times New Roman"/>
      <w:i/>
      <w:iCs/>
      <w:sz w:val="16"/>
      <w:szCs w:val="16"/>
    </w:rPr>
  </w:style>
  <w:style w:type="paragraph" w:styleId="898" w:customStyle="1">
    <w:name w:val="Подпись к таблице"/>
    <w:basedOn w:val="882"/>
    <w:link w:val="891"/>
    <w:rPr>
      <w:rFonts w:ascii="Times New Roman" w:hAnsi="Times New Roman" w:eastAsia="Times New Roman" w:cs="Times New Roman"/>
      <w:b/>
      <w:bCs/>
      <w:sz w:val="20"/>
      <w:szCs w:val="20"/>
    </w:rPr>
  </w:style>
  <w:style w:type="paragraph" w:styleId="899" w:customStyle="1">
    <w:name w:val="Другое"/>
    <w:basedOn w:val="882"/>
    <w:link w:val="892"/>
    <w:pPr>
      <w:spacing w:line="314" w:lineRule="auto"/>
    </w:pPr>
    <w:rPr>
      <w:rFonts w:ascii="Times New Roman" w:hAnsi="Times New Roman" w:eastAsia="Times New Roman" w:cs="Times New Roman"/>
      <w:sz w:val="20"/>
      <w:szCs w:val="20"/>
    </w:rPr>
  </w:style>
  <w:style w:type="table" w:styleId="900">
    <w:name w:val="Table Grid"/>
    <w:basedOn w:val="884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01">
    <w:name w:val="Hyperlink"/>
    <w:basedOn w:val="883"/>
    <w:uiPriority w:val="99"/>
    <w:unhideWhenUsed/>
    <w:rPr>
      <w:color w:val="0563c1" w:themeColor="hyperlink"/>
      <w:u w:val="single"/>
    </w:rPr>
  </w:style>
  <w:style w:type="paragraph" w:styleId="902">
    <w:name w:val="Header"/>
    <w:basedOn w:val="882"/>
    <w:link w:val="90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03" w:customStyle="1">
    <w:name w:val="Верхний колонтитул Знак"/>
    <w:basedOn w:val="883"/>
    <w:link w:val="902"/>
    <w:uiPriority w:val="99"/>
    <w:rPr>
      <w:color w:val="000000"/>
    </w:rPr>
  </w:style>
  <w:style w:type="paragraph" w:styleId="904">
    <w:name w:val="Footer"/>
    <w:basedOn w:val="882"/>
    <w:link w:val="90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05" w:customStyle="1">
    <w:name w:val="Нижний колонтитул Знак"/>
    <w:basedOn w:val="883"/>
    <w:link w:val="904"/>
    <w:uiPriority w:val="99"/>
    <w:rPr>
      <w:color w:val="000000"/>
    </w:rPr>
  </w:style>
  <w:style w:type="paragraph" w:styleId="906">
    <w:name w:val="List Paragraph"/>
    <w:basedOn w:val="882"/>
    <w:uiPriority w:val="34"/>
    <w:qFormat/>
    <w:pPr>
      <w:contextualSpacing/>
      <w:ind w:left="720"/>
    </w:pPr>
  </w:style>
  <w:style w:type="paragraph" w:styleId="907" w:customStyle="1">
    <w:name w:val="Колонтитул (2)"/>
    <w:basedOn w:val="882"/>
    <w:link w:val="908"/>
    <w:rPr>
      <w:rFonts w:ascii="Times New Roman" w:hAnsi="Times New Roman" w:eastAsia="Times New Roman" w:cs="Times New Roman"/>
      <w:sz w:val="20"/>
      <w:szCs w:val="20"/>
    </w:rPr>
  </w:style>
  <w:style w:type="character" w:styleId="908" w:customStyle="1">
    <w:name w:val="Колонтитул (2)_"/>
    <w:basedOn w:val="883"/>
    <w:link w:val="907"/>
    <w:rPr>
      <w:rFonts w:ascii="Times New Roman" w:hAnsi="Times New Roman" w:eastAsia="Times New Roman" w:cs="Times New Roman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vdi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nasibullina</cp:lastModifiedBy>
  <cp:revision>16</cp:revision>
  <dcterms:created xsi:type="dcterms:W3CDTF">2025-10-13T07:40:00Z</dcterms:created>
  <dcterms:modified xsi:type="dcterms:W3CDTF">2026-10-23T04:18:08Z</dcterms:modified>
</cp:coreProperties>
</file>