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</w:rPr>
        <w:t xml:space="preserve">П</w:t>
      </w:r>
      <w:r>
        <w:rPr>
          <w:rFonts w:ascii="Arial" w:hAnsi="Arial" w:cs="Arial"/>
          <w:sz w:val="24"/>
        </w:rPr>
        <w:t xml:space="preserve">риложение 2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Форма для заполнения поставщиком (подрядчиком, исполнителем)</w:t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681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2688"/>
        <w:gridCol w:w="3699"/>
        <w:gridCol w:w="2963"/>
      </w:tblGrid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№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п/п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Наименование условий исполнения договора 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Условия исполнения договора Заказчика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Предложение поставщика (подрядчика, исполнителя)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1.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Предмет закупки: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left"/>
              <w:rPr>
                <w:rFonts w:ascii="Arial" w:hAnsi="Arial" w:cs="Arial"/>
                <w:bCs/>
                <w:spacing w:val="1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-</w:t>
            </w:r>
            <w:r>
              <w:rPr>
                <w:rFonts w:ascii="Arial" w:hAnsi="Arial" w:cs="Arial"/>
                <w:sz w:val="24"/>
              </w:rPr>
              <w:t xml:space="preserve">поставка кулер для воды напольный</w:t>
            </w:r>
            <w:r>
              <w:rPr>
                <w:rFonts w:ascii="Arial" w:hAnsi="Arial" w:cs="Arial"/>
                <w:bCs/>
                <w:spacing w:val="1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Представленное поставщиком (подрядчиком, исполнителем) Техническое задание, соответствующее техническому заданию Заказчика.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2.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Сроки (периоды)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В течение 10 (десяти) календарных дней с момента подписания договора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3.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Место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г. Тюмень, ул. Пермякова, 3а этаж 4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>
          <w:trHeight w:val="1150"/>
        </w:trPr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4.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и условия оплаты поставок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numPr>
                <w:ilvl w:val="2"/>
                <w:numId w:val="0"/>
              </w:numPr>
              <w:jc w:val="both"/>
              <w:tabs>
                <w:tab w:val="num" w:pos="0" w:leader="none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5.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единицы товара, работы, услуги и общая цена договора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Р</w:t>
            </w:r>
            <w:r>
              <w:rPr>
                <w:rFonts w:ascii="Arial" w:hAnsi="Arial" w:cs="Arial"/>
                <w:sz w:val="24"/>
              </w:rPr>
              <w:t xml:space="preserve">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указывается в Приложении 2.1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6.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действия ценовой информации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Устанавливается поставщиком (подрядчиком, исполнителем).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</w:tbl>
    <w:p>
      <w:r/>
      <w:r/>
    </w:p>
    <w:p>
      <w:r/>
      <w:r/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  <w:sectPr>
          <w:footnotePr/>
          <w:endnotePr/>
          <w:type w:val="nextPage"/>
          <w:pgSz w:w="11906" w:h="16838" w:orient="portrait"/>
          <w:pgMar w:top="1134" w:right="850" w:bottom="1134" w:left="1418" w:header="0" w:footer="0" w:gutter="0"/>
          <w:cols w:num="1" w:sep="0" w:space="1701" w:equalWidth="1"/>
          <w:docGrid w:linePitch="360"/>
        </w:sect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Приложение 2.1.</w: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tbl>
      <w:tblPr>
        <w:tblStyle w:val="681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8"/>
        <w:gridCol w:w="3261"/>
        <w:gridCol w:w="851"/>
        <w:gridCol w:w="2835"/>
        <w:gridCol w:w="1701"/>
        <w:gridCol w:w="1417"/>
        <w:gridCol w:w="1560"/>
        <w:gridCol w:w="1559"/>
      </w:tblGrid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№ п/п</w:t>
            </w:r>
            <w:r>
              <w:rPr>
                <w:rFonts w:ascii="Arial" w:hAnsi="Arial" w:cs="Arial"/>
                <w:bCs/>
                <w:szCs w:val="20"/>
              </w:rPr>
            </w:r>
            <w:r>
              <w:rPr>
                <w:rFonts w:ascii="Arial" w:hAnsi="Arial" w:cs="Arial"/>
                <w:bCs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Наименование объекта закупки (товара)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Заказчиком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Кол-во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шт.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Поставщиком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</w:t>
            </w:r>
            <w:r>
              <w:rPr>
                <w:rFonts w:ascii="Arial" w:hAnsi="Arial" w:cs="Arial"/>
                <w:b/>
                <w:szCs w:val="20"/>
              </w:rPr>
              <w:t xml:space="preserve">е/</w:t>
            </w:r>
            <w:r>
              <w:rPr>
                <w:rFonts w:ascii="Arial" w:hAnsi="Arial" w:cs="Arial"/>
                <w:b/>
                <w:szCs w:val="20"/>
              </w:rPr>
              <w:t xml:space="preserve">марка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Страна происхождения</w:t>
            </w:r>
            <w:r>
              <w:rPr>
                <w:rFonts w:ascii="Arial" w:hAnsi="Arial" w:cs="Arial"/>
                <w:b/>
                <w:szCs w:val="20"/>
              </w:rPr>
              <w:t xml:space="preserve">/реестровый номер (если имеется)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 за ед.,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</w:t>
            </w:r>
            <w:r>
              <w:rPr>
                <w:rFonts w:ascii="Arial" w:hAnsi="Arial" w:cs="Arial"/>
                <w:b/>
                <w:szCs w:val="20"/>
              </w:rPr>
              <w:t xml:space="preserve">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1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212731"/>
                <w:sz w:val="24"/>
                <w:szCs w:val="24"/>
                <w:shd w:val="clear" w:color="auto" w:fill="ffffff"/>
                <w:lang w:eastAsia="ru-RU"/>
              </w:rPr>
              <w:t xml:space="preserve">Кулер для воды напольный</w:t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Тип 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установки: напольный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Тип охлаждени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я: </w: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 HYPERLINK "https://www.vseins</w:instrText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trumenti.ru/tag-page/napolnye-kulery-dlya-vody-elektronnye-18952/" \o "https://www.vseinstrumenti.ru/tag-page/napolnye-kulery-dlya-vody-elektronnye-18952/" </w:instrTex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separate"/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электронный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Тип нагревательного элемент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а: </w: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 HYPERLINK "https://www.vseinstrumenti.ru/tag-page/kuler</w:instrText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y-dlya-vody-s-tenom-2244539/" \o "https://www.vseinstrumenti.ru/tag-page/kulery-dlya-vody-s-tenom-2244539/" </w:instrTex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separate"/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ТЭН (трубч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а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тый)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Регулировка температуры нагрева и охл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а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ждения: нет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Подача воды комнатной температуры: нет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Материал корпус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а: </w: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 HYPERLINK "https://www.v</w:instrText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seinstrumenti.ru/tag-page/kulery-dlya-vody-plastik-metall-2251553/" \o "https://www.vseinstrumenti.ru/tag-page/kulery-dlya-vody-plastik-metall-2251553/" </w:instrTex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separate"/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пластик/металл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Основной цве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т: белый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Размещение бутыли с водой: </w:t>
            </w:r>
            <w:hyperlink r:id="rId9" w:tooltip="https://www.vseinstrumenti.ru/tag-page/napolnye-kulery-dlya-vody-s-verhnej-zagruzkoj-18955/" w:history="1"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верхняя загру</w:t>
              </w:r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з</w:t>
              </w:r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ка</w:t>
              </w:r>
            </w:hyperlink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Тип крана: кран-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пуш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 (нажим кружкой)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Количество кранов: </w:t>
            </w:r>
            <w:hyperlink r:id="rId10" w:tooltip="https://www.vseinstrumenti.ru/tag-page/kulery-dlya-vody-2-krana-1729589/" w:history="1"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2 </w:t>
              </w:r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шт</w:t>
              </w:r>
            </w:hyperlink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Кран с охлаждением вод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ы: </w: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 HYPERLINK "https://www.vseinstrumenti.ru/tag-page/napolnye-kulery-s-ohlazhdeniem-vody-18954/" \o "https://www.vseinstrumenti.ru/tag-page/napolnye-kulery-s-ohl</w:instrText>
            </w:r>
            <w:r>
              <w:rPr>
                <w:rFonts w:ascii="Arial" w:hAnsi="Arial" w:eastAsia="Arial" w:cs="Arial"/>
                <w:sz w:val="24"/>
                <w:szCs w:val="24"/>
              </w:rPr>
              <w:instrText xml:space="preserve">azhdeniem-vody-18954/" </w:instrText>
            </w:r>
            <w:r>
              <w:rPr>
                <w:rFonts w:ascii="Arial" w:hAnsi="Arial" w:eastAsia="Arial" w:cs="Arial"/>
                <w:sz w:val="24"/>
                <w:szCs w:val="24"/>
              </w:rPr>
              <w:fldChar w:fldCharType="separate"/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t xml:space="preserve">есть</w:t>
            </w:r>
            <w:r>
              <w:rPr>
                <w:rStyle w:val="823"/>
                <w:rFonts w:ascii="Arial" w:hAnsi="Arial" w:eastAsia="Arial" w:cs="Arial"/>
                <w:color w:val="1c2126"/>
                <w:sz w:val="24"/>
                <w:szCs w:val="24"/>
                <w:u w:val="none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Кран с нагревом вод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ы: есть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color w:val="1c2126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Кран без нагрева/охлажде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ния воды: нет </w:t>
            </w:r>
            <w:r>
              <w:rPr>
                <w:rFonts w:ascii="Arial" w:hAnsi="Arial" w:cs="Arial"/>
                <w:color w:val="1c2126"/>
                <w:sz w:val="24"/>
                <w:szCs w:val="24"/>
              </w:rPr>
            </w:r>
            <w:r>
              <w:rPr>
                <w:rFonts w:ascii="Arial" w:hAnsi="Arial" w:cs="Arial"/>
                <w:color w:val="1c2126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Ди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с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пле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й: нет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Защита от детей: нет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Подсветка: и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ндикатор нагрева / охлаждения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 w:line="300" w:lineRule="atLeast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Габариты без упаковки: не менее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 w:line="300" w:lineRule="atLeast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310x330x960 мм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Мощность охлаждения: не менее </w:t>
            </w:r>
            <w:hyperlink r:id="rId11" w:tooltip="https://www.vseinstrumenti.ru/tag-page/kulery-dlya-vody-70-vt-2142873/" w:history="1"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70 Вт</w:t>
              </w:r>
            </w:hyperlink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Мощность нагрева: не менее </w:t>
            </w:r>
            <w:hyperlink r:id="rId12" w:tooltip="https://www.vseinstrumenti.ru/tag-page/kulery-dlya-vody-700-vt-2142867/" w:history="1"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700 Вт</w:t>
              </w:r>
            </w:hyperlink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Производительность охлаждени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я: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 не менее 1 л/ч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Производительность нагрева: не менее 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7 л/ч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Емкость бака для холодной воды: не менее 0.7 л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Емкость бака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 для горячей воды: не менее 1 л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Температура охлаждения воды: не менее 12-15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 °С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Температура нагрева воды: не более 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90-95</w:t>
            </w: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 °С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Arial" w:cs="Arial"/>
                <w:color w:val="1c2126"/>
                <w:sz w:val="24"/>
                <w:szCs w:val="24"/>
              </w:rPr>
              <w:t xml:space="preserve">Напряжение:</w:t>
            </w:r>
            <w:hyperlink r:id="rId13" w:tooltip="https://www.vseinstrumenti.ru/tag-page/napolnye-kulery-dlya-vody-220-v-1732037/" w:history="1"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220</w:t>
              </w:r>
              <w:r>
                <w:rPr>
                  <w:rStyle w:val="823"/>
                  <w:rFonts w:ascii="Arial" w:hAnsi="Arial" w:eastAsia="Arial" w:cs="Arial"/>
                  <w:color w:val="1c2126"/>
                  <w:sz w:val="24"/>
                  <w:szCs w:val="24"/>
                  <w:u w:val="none"/>
                </w:rPr>
                <w:t xml:space="preserve"> В</w:t>
              </w:r>
            </w:hyperlink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eastAsia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2</w:t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gridSpan w:val="8"/>
            <w:tcW w:w="1375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ИТОГО</w:t>
            </w:r>
            <w:r>
              <w:rPr>
                <w:rFonts w:ascii="Arial" w:hAnsi="Arial" w:cs="Arial"/>
                <w:b/>
                <w:bCs/>
                <w:szCs w:val="20"/>
              </w:rPr>
            </w:r>
            <w:r>
              <w:rPr>
                <w:rFonts w:ascii="Arial" w:hAnsi="Arial" w:cs="Arial"/>
                <w:b/>
                <w:bCs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</w:tbl>
    <w:p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sectPr>
      <w:footnotePr/>
      <w:endnotePr/>
      <w:type w:val="nextPage"/>
      <w:pgSz w:w="16838" w:h="11906" w:orient="landscape"/>
      <w:pgMar w:top="1418" w:right="1134" w:bottom="850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Droid Sans Fallback">
    <w:panose1 w:val="02000603000000000000"/>
  </w:font>
  <w:font w:name="Droid Sans Devanagari">
    <w:panose1 w:val="02000603000000000000"/>
  </w:font>
  <w:font w:name="Courier New">
    <w:panose1 w:val="02070309020205020404"/>
  </w:font>
  <w:font w:name="Mangal">
    <w:panose1 w:val="02040503050203030202"/>
  </w:font>
  <w:font w:name="NSimSun">
    <w:panose1 w:val="02010609030101010101"/>
  </w:font>
  <w:font w:name="Arial">
    <w:panose1 w:val="020B0604020202020204"/>
  </w:font>
  <w:font w:name="Segoe UI">
    <w:panose1 w:val="020B0502040204020203"/>
  </w:font>
  <w:font w:name="Tahoma">
    <w:panose1 w:val="020B06040305040402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egoe UI" w:cs="Tahoma"/>
        <w:color w:val="000000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7">
    <w:name w:val="Caption Char"/>
    <w:basedOn w:val="678"/>
    <w:link w:val="856"/>
    <w:uiPriority w:val="35"/>
    <w:rPr>
      <w:b/>
      <w:bCs/>
      <w:color w:val="4f81bd" w:themeColor="accent1"/>
      <w:sz w:val="18"/>
      <w:szCs w:val="18"/>
    </w:rPr>
  </w:style>
  <w:style w:type="paragraph" w:styleId="668" w:default="1">
    <w:name w:val="Normal"/>
    <w:qFormat/>
  </w:style>
  <w:style w:type="paragraph" w:styleId="669">
    <w:name w:val="Heading 1"/>
    <w:basedOn w:val="828"/>
    <w:uiPriority w:val="9"/>
    <w:qFormat/>
    <w:pPr>
      <w:spacing w:before="480" w:after="200"/>
      <w:outlineLvl w:val="0"/>
    </w:pPr>
    <w:rPr>
      <w:rFonts w:ascii="Arial" w:hAnsi="Arial" w:eastAsia="Arial" w:cs="Arial"/>
      <w:sz w:val="40"/>
    </w:rPr>
  </w:style>
  <w:style w:type="paragraph" w:styleId="670">
    <w:name w:val="Heading 2"/>
    <w:basedOn w:val="828"/>
    <w:uiPriority w:val="9"/>
    <w:qFormat/>
    <w:p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1">
    <w:name w:val="Heading 3"/>
    <w:basedOn w:val="828"/>
    <w:uiPriority w:val="9"/>
    <w:qFormat/>
    <w:pPr>
      <w:spacing w:before="320" w:after="200"/>
      <w:outlineLvl w:val="2"/>
    </w:pPr>
    <w:rPr>
      <w:rFonts w:ascii="Arial" w:hAnsi="Arial" w:eastAsia="Arial" w:cs="Arial"/>
      <w:sz w:val="30"/>
    </w:rPr>
  </w:style>
  <w:style w:type="paragraph" w:styleId="672">
    <w:name w:val="Heading 4"/>
    <w:basedOn w:val="828"/>
    <w:uiPriority w:val="9"/>
    <w:qFormat/>
    <w:pPr>
      <w:spacing w:before="320" w:after="200"/>
      <w:outlineLvl w:val="3"/>
    </w:pPr>
    <w:rPr>
      <w:rFonts w:ascii="Arial" w:hAnsi="Arial" w:eastAsia="Arial" w:cs="Arial"/>
      <w:b/>
      <w:sz w:val="26"/>
    </w:rPr>
  </w:style>
  <w:style w:type="paragraph" w:styleId="673">
    <w:name w:val="Heading 5"/>
    <w:basedOn w:val="828"/>
    <w:uiPriority w:val="9"/>
    <w:qFormat/>
    <w:pPr>
      <w:spacing w:before="320" w:after="200"/>
      <w:outlineLvl w:val="4"/>
    </w:pPr>
    <w:rPr>
      <w:rFonts w:ascii="Arial" w:hAnsi="Arial" w:eastAsia="Arial" w:cs="Arial"/>
      <w:b/>
      <w:sz w:val="24"/>
    </w:rPr>
  </w:style>
  <w:style w:type="paragraph" w:styleId="674">
    <w:name w:val="Heading 6"/>
    <w:basedOn w:val="828"/>
    <w:uiPriority w:val="9"/>
    <w:qFormat/>
    <w:pPr>
      <w:spacing w:before="320" w:after="200"/>
      <w:outlineLvl w:val="5"/>
    </w:pPr>
    <w:rPr>
      <w:rFonts w:ascii="Arial" w:hAnsi="Arial" w:eastAsia="Arial" w:cs="Arial"/>
      <w:b/>
      <w:sz w:val="22"/>
    </w:rPr>
  </w:style>
  <w:style w:type="paragraph" w:styleId="675">
    <w:name w:val="Heading 7"/>
    <w:basedOn w:val="828"/>
    <w:uiPriority w:val="9"/>
    <w:qFormat/>
    <w:pPr>
      <w:spacing w:before="320" w:after="200"/>
      <w:outlineLvl w:val="6"/>
    </w:pPr>
    <w:rPr>
      <w:rFonts w:ascii="Arial" w:hAnsi="Arial" w:eastAsia="Arial" w:cs="Arial"/>
      <w:b/>
      <w:i/>
      <w:sz w:val="22"/>
    </w:rPr>
  </w:style>
  <w:style w:type="paragraph" w:styleId="676">
    <w:name w:val="Heading 8"/>
    <w:basedOn w:val="828"/>
    <w:uiPriority w:val="9"/>
    <w:qFormat/>
    <w:pPr>
      <w:spacing w:before="320" w:after="200"/>
      <w:outlineLvl w:val="7"/>
    </w:pPr>
    <w:rPr>
      <w:rFonts w:ascii="Arial" w:hAnsi="Arial" w:eastAsia="Arial" w:cs="Arial"/>
      <w:i/>
      <w:sz w:val="22"/>
    </w:rPr>
  </w:style>
  <w:style w:type="paragraph" w:styleId="677">
    <w:name w:val="Heading 9"/>
    <w:basedOn w:val="828"/>
    <w:uiPriority w:val="9"/>
    <w:qFormat/>
    <w:pPr>
      <w:spacing w:before="320" w:after="200"/>
      <w:outlineLvl w:val="8"/>
    </w:pPr>
    <w:rPr>
      <w:rFonts w:ascii="Arial" w:hAnsi="Arial" w:eastAsia="Arial" w:cs="Arial"/>
      <w:i/>
      <w:sz w:val="21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table" w:styleId="681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1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1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1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1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1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1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1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2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2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2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2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2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2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2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4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4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4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7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7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7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7" w:customStyle="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88" w:customStyle="1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89" w:customStyle="1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0" w:customStyle="1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1" w:customStyle="1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2" w:customStyle="1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3" w:customStyle="1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4" w:customStyle="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5" w:customStyle="1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6" w:customStyle="1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7" w:customStyle="1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8" w:customStyle="1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9" w:customStyle="1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0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0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0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0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0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07" w:customStyle="1">
    <w:name w:val="Heading 1 Char"/>
    <w:uiPriority w:val="9"/>
    <w:rPr>
      <w:rFonts w:ascii="Arial" w:hAnsi="Arial" w:eastAsia="Arial" w:cs="Arial"/>
      <w:sz w:val="40"/>
    </w:rPr>
  </w:style>
  <w:style w:type="character" w:styleId="808" w:customStyle="1">
    <w:name w:val="Heading 2 Char"/>
    <w:uiPriority w:val="9"/>
    <w:rPr>
      <w:rFonts w:ascii="Arial" w:hAnsi="Arial" w:eastAsia="Arial" w:cs="Arial"/>
      <w:sz w:val="34"/>
    </w:rPr>
  </w:style>
  <w:style w:type="character" w:styleId="809" w:customStyle="1">
    <w:name w:val="Heading 3 Char"/>
    <w:uiPriority w:val="9"/>
    <w:rPr>
      <w:rFonts w:ascii="Arial" w:hAnsi="Arial" w:eastAsia="Arial" w:cs="Arial"/>
      <w:sz w:val="30"/>
    </w:rPr>
  </w:style>
  <w:style w:type="character" w:styleId="810" w:customStyle="1">
    <w:name w:val="Heading 4 Char"/>
    <w:uiPriority w:val="9"/>
    <w:rPr>
      <w:rFonts w:ascii="Arial" w:hAnsi="Arial" w:eastAsia="Arial" w:cs="Arial"/>
      <w:b/>
      <w:sz w:val="26"/>
    </w:rPr>
  </w:style>
  <w:style w:type="character" w:styleId="811" w:customStyle="1">
    <w:name w:val="Heading 5 Char"/>
    <w:uiPriority w:val="9"/>
    <w:rPr>
      <w:rFonts w:ascii="Arial" w:hAnsi="Arial" w:eastAsia="Arial" w:cs="Arial"/>
      <w:b/>
      <w:sz w:val="24"/>
    </w:rPr>
  </w:style>
  <w:style w:type="character" w:styleId="812" w:customStyle="1">
    <w:name w:val="Heading 6 Char"/>
    <w:uiPriority w:val="9"/>
    <w:rPr>
      <w:rFonts w:ascii="Arial" w:hAnsi="Arial" w:eastAsia="Arial" w:cs="Arial"/>
      <w:b/>
      <w:sz w:val="22"/>
    </w:rPr>
  </w:style>
  <w:style w:type="character" w:styleId="813" w:customStyle="1">
    <w:name w:val="Heading 7 Char"/>
    <w:uiPriority w:val="9"/>
    <w:rPr>
      <w:rFonts w:ascii="Arial" w:hAnsi="Arial" w:eastAsia="Arial" w:cs="Arial"/>
      <w:b/>
      <w:i/>
      <w:sz w:val="22"/>
    </w:rPr>
  </w:style>
  <w:style w:type="character" w:styleId="814" w:customStyle="1">
    <w:name w:val="Heading 8 Char"/>
    <w:uiPriority w:val="9"/>
    <w:rPr>
      <w:rFonts w:ascii="Arial" w:hAnsi="Arial" w:eastAsia="Arial" w:cs="Arial"/>
      <w:i/>
      <w:sz w:val="22"/>
    </w:rPr>
  </w:style>
  <w:style w:type="character" w:styleId="815" w:customStyle="1">
    <w:name w:val="Heading 9 Char"/>
    <w:uiPriority w:val="9"/>
    <w:rPr>
      <w:rFonts w:ascii="Arial" w:hAnsi="Arial" w:eastAsia="Arial" w:cs="Arial"/>
      <w:i/>
      <w:sz w:val="21"/>
    </w:rPr>
  </w:style>
  <w:style w:type="character" w:styleId="816" w:customStyle="1">
    <w:name w:val="Title Char"/>
    <w:uiPriority w:val="10"/>
    <w:rPr>
      <w:sz w:val="48"/>
    </w:rPr>
  </w:style>
  <w:style w:type="character" w:styleId="817" w:customStyle="1">
    <w:name w:val="Subtitle Char"/>
    <w:uiPriority w:val="11"/>
    <w:rPr>
      <w:sz w:val="24"/>
    </w:rPr>
  </w:style>
  <w:style w:type="character" w:styleId="818" w:customStyle="1">
    <w:name w:val="Quote Char"/>
    <w:uiPriority w:val="29"/>
    <w:rPr>
      <w:i/>
    </w:rPr>
  </w:style>
  <w:style w:type="character" w:styleId="819" w:customStyle="1">
    <w:name w:val="Intense Quote Char"/>
    <w:uiPriority w:val="30"/>
    <w:rPr>
      <w:i/>
    </w:rPr>
  </w:style>
  <w:style w:type="character" w:styleId="820" w:customStyle="1">
    <w:name w:val="Header Char"/>
    <w:uiPriority w:val="99"/>
  </w:style>
  <w:style w:type="character" w:styleId="821" w:customStyle="1">
    <w:name w:val="Footer Char"/>
    <w:uiPriority w:val="99"/>
  </w:style>
  <w:style w:type="character" w:styleId="822" w:customStyle="1">
    <w:name w:val="Название объекта Знак"/>
    <w:link w:val="856"/>
    <w:rPr>
      <w:b/>
      <w:color w:val="4f81bd"/>
      <w:sz w:val="18"/>
    </w:rPr>
  </w:style>
  <w:style w:type="character" w:styleId="823">
    <w:name w:val="Hyperlink"/>
    <w:uiPriority w:val="99"/>
    <w:rPr>
      <w:color w:val="0000ff"/>
      <w:u w:val="single"/>
    </w:rPr>
  </w:style>
  <w:style w:type="character" w:styleId="824" w:customStyle="1">
    <w:name w:val="Footnote Text Char"/>
    <w:uiPriority w:val="99"/>
    <w:rPr>
      <w:sz w:val="18"/>
    </w:rPr>
  </w:style>
  <w:style w:type="character" w:styleId="825">
    <w:name w:val="footnote reference"/>
    <w:uiPriority w:val="99"/>
    <w:rPr>
      <w:vertAlign w:val="superscript"/>
    </w:rPr>
  </w:style>
  <w:style w:type="character" w:styleId="826" w:customStyle="1">
    <w:name w:val="Endnote Text Char"/>
    <w:uiPriority w:val="99"/>
    <w:rPr>
      <w:sz w:val="20"/>
    </w:rPr>
  </w:style>
  <w:style w:type="character" w:styleId="827">
    <w:name w:val="endnote reference"/>
    <w:uiPriority w:val="99"/>
    <w:rPr>
      <w:vertAlign w:val="superscript"/>
    </w:rPr>
  </w:style>
  <w:style w:type="paragraph" w:styleId="828" w:customStyle="1">
    <w:name w:val="LO-Normal"/>
    <w:qFormat/>
    <w:pPr>
      <w:widowControl w:val="off"/>
    </w:pPr>
  </w:style>
  <w:style w:type="paragraph" w:styleId="829">
    <w:name w:val="Title"/>
    <w:basedOn w:val="828"/>
    <w:uiPriority w:val="10"/>
    <w:qFormat/>
    <w:pPr>
      <w:contextualSpacing/>
      <w:spacing w:before="300" w:after="200"/>
    </w:pPr>
    <w:rPr>
      <w:sz w:val="48"/>
    </w:rPr>
  </w:style>
  <w:style w:type="paragraph" w:styleId="830">
    <w:name w:val="Body Text"/>
    <w:basedOn w:val="668"/>
    <w:pPr>
      <w:spacing w:after="140" w:line="288" w:lineRule="auto"/>
    </w:pPr>
  </w:style>
  <w:style w:type="paragraph" w:styleId="831">
    <w:name w:val="List Paragraph"/>
    <w:basedOn w:val="828"/>
    <w:uiPriority w:val="34"/>
    <w:qFormat/>
    <w:pPr>
      <w:contextualSpacing/>
      <w:ind w:left="720"/>
    </w:pPr>
  </w:style>
  <w:style w:type="paragraph" w:styleId="832">
    <w:name w:val="No Spacing"/>
    <w:uiPriority w:val="1"/>
    <w:qFormat/>
    <w:pPr>
      <w:widowControl w:val="off"/>
    </w:pPr>
  </w:style>
  <w:style w:type="paragraph" w:styleId="833">
    <w:name w:val="Subtitle"/>
    <w:basedOn w:val="828"/>
    <w:uiPriority w:val="11"/>
    <w:qFormat/>
    <w:pPr>
      <w:spacing w:before="200" w:after="200"/>
    </w:pPr>
    <w:rPr>
      <w:sz w:val="24"/>
    </w:rPr>
  </w:style>
  <w:style w:type="paragraph" w:styleId="834">
    <w:name w:val="Quote"/>
    <w:basedOn w:val="828"/>
    <w:uiPriority w:val="29"/>
    <w:qFormat/>
    <w:pPr>
      <w:ind w:left="720" w:right="720"/>
    </w:pPr>
    <w:rPr>
      <w:i/>
    </w:rPr>
  </w:style>
  <w:style w:type="paragraph" w:styleId="835">
    <w:name w:val="Intense Quote"/>
    <w:basedOn w:val="828"/>
    <w:uiPriority w:val="30"/>
    <w:qFormat/>
    <w:pPr>
      <w:contextualSpacing/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836" w:customStyle="1">
    <w:name w:val="Колонтитул"/>
    <w:basedOn w:val="668"/>
    <w:qFormat/>
    <w:pPr>
      <w:tabs>
        <w:tab w:val="center" w:pos="4818" w:leader="none"/>
        <w:tab w:val="right" w:pos="9638" w:leader="none"/>
      </w:tabs>
    </w:pPr>
  </w:style>
  <w:style w:type="paragraph" w:styleId="837">
    <w:name w:val="Footer"/>
    <w:basedOn w:val="828"/>
    <w:uiPriority w:val="99"/>
    <w:pPr>
      <w:tabs>
        <w:tab w:val="center" w:pos="7143" w:leader="none"/>
        <w:tab w:val="right" w:pos="14287" w:leader="none"/>
      </w:tabs>
    </w:pPr>
  </w:style>
  <w:style w:type="paragraph" w:styleId="838">
    <w:name w:val="footnote text"/>
    <w:basedOn w:val="828"/>
    <w:uiPriority w:val="99"/>
    <w:pPr>
      <w:spacing w:after="40"/>
    </w:pPr>
    <w:rPr>
      <w:sz w:val="18"/>
    </w:rPr>
  </w:style>
  <w:style w:type="paragraph" w:styleId="839">
    <w:name w:val="endnote text"/>
    <w:basedOn w:val="828"/>
    <w:uiPriority w:val="99"/>
  </w:style>
  <w:style w:type="paragraph" w:styleId="840">
    <w:name w:val="toc 1"/>
    <w:basedOn w:val="828"/>
    <w:uiPriority w:val="39"/>
    <w:pPr>
      <w:spacing w:after="57"/>
    </w:pPr>
  </w:style>
  <w:style w:type="paragraph" w:styleId="841">
    <w:name w:val="toc 2"/>
    <w:basedOn w:val="828"/>
    <w:uiPriority w:val="39"/>
    <w:pPr>
      <w:ind w:left="283"/>
      <w:spacing w:after="57"/>
    </w:pPr>
  </w:style>
  <w:style w:type="paragraph" w:styleId="842">
    <w:name w:val="toc 3"/>
    <w:basedOn w:val="828"/>
    <w:uiPriority w:val="39"/>
    <w:pPr>
      <w:ind w:left="567"/>
      <w:spacing w:after="57"/>
    </w:pPr>
  </w:style>
  <w:style w:type="paragraph" w:styleId="843">
    <w:name w:val="toc 4"/>
    <w:basedOn w:val="828"/>
    <w:uiPriority w:val="39"/>
    <w:pPr>
      <w:ind w:left="850"/>
      <w:spacing w:after="57"/>
    </w:pPr>
  </w:style>
  <w:style w:type="paragraph" w:styleId="844">
    <w:name w:val="toc 5"/>
    <w:basedOn w:val="828"/>
    <w:uiPriority w:val="39"/>
    <w:pPr>
      <w:ind w:left="1134"/>
      <w:spacing w:after="57"/>
    </w:pPr>
  </w:style>
  <w:style w:type="paragraph" w:styleId="845">
    <w:name w:val="toc 6"/>
    <w:basedOn w:val="828"/>
    <w:uiPriority w:val="39"/>
    <w:pPr>
      <w:ind w:left="1417"/>
      <w:spacing w:after="57"/>
    </w:pPr>
  </w:style>
  <w:style w:type="paragraph" w:styleId="846">
    <w:name w:val="toc 7"/>
    <w:basedOn w:val="828"/>
    <w:uiPriority w:val="39"/>
    <w:pPr>
      <w:ind w:left="1701"/>
      <w:spacing w:after="57"/>
    </w:pPr>
  </w:style>
  <w:style w:type="paragraph" w:styleId="847">
    <w:name w:val="toc 8"/>
    <w:basedOn w:val="828"/>
    <w:uiPriority w:val="39"/>
    <w:pPr>
      <w:ind w:left="1984"/>
      <w:spacing w:after="57"/>
    </w:pPr>
  </w:style>
  <w:style w:type="paragraph" w:styleId="848">
    <w:name w:val="toc 9"/>
    <w:basedOn w:val="828"/>
    <w:uiPriority w:val="39"/>
    <w:pPr>
      <w:ind w:left="2268"/>
      <w:spacing w:after="57"/>
    </w:pPr>
  </w:style>
  <w:style w:type="paragraph" w:styleId="849">
    <w:name w:val="TOC Heading"/>
    <w:uiPriority w:val="39"/>
    <w:pPr>
      <w:widowControl w:val="off"/>
    </w:pPr>
  </w:style>
  <w:style w:type="paragraph" w:styleId="850">
    <w:name w:val="table of figures"/>
    <w:basedOn w:val="828"/>
    <w:uiPriority w:val="99"/>
  </w:style>
  <w:style w:type="paragraph" w:styleId="851" w:customStyle="1">
    <w:name w:val="DStyle_paragraph"/>
    <w:pPr>
      <w:widowControl w:val="off"/>
    </w:pPr>
    <w:rPr>
      <w:rFonts w:eastAsia="NSimSun" w:cs="Mangal"/>
      <w:sz w:val="24"/>
    </w:rPr>
  </w:style>
  <w:style w:type="paragraph" w:styleId="852">
    <w:name w:val="Body Text Indent"/>
    <w:basedOn w:val="668"/>
    <w:pPr>
      <w:ind w:left="283" w:hanging="566"/>
      <w:spacing w:after="120"/>
    </w:pPr>
  </w:style>
  <w:style w:type="paragraph" w:styleId="853">
    <w:name w:val="Header"/>
    <w:basedOn w:val="668"/>
    <w:uiPriority w:val="99"/>
    <w:pPr>
      <w:tabs>
        <w:tab w:val="center" w:pos="4152" w:leader="none"/>
        <w:tab w:val="right" w:pos="8306" w:leader="none"/>
      </w:tabs>
    </w:pPr>
    <w:rPr>
      <w:rFonts w:ascii="Arial" w:hAnsi="Arial" w:cs="Arial"/>
      <w:sz w:val="27"/>
    </w:rPr>
  </w:style>
  <w:style w:type="paragraph" w:styleId="854" w:customStyle="1">
    <w:name w:val="Содержимое таблицы"/>
    <w:basedOn w:val="668"/>
    <w:qFormat/>
  </w:style>
  <w:style w:type="paragraph" w:styleId="855">
    <w:name w:val="List"/>
    <w:basedOn w:val="830"/>
  </w:style>
  <w:style w:type="paragraph" w:styleId="856">
    <w:name w:val="Caption"/>
    <w:basedOn w:val="668"/>
    <w:link w:val="822"/>
    <w:uiPriority w:val="35"/>
    <w:qFormat/>
    <w:pPr>
      <w:spacing w:before="120" w:after="120"/>
    </w:pPr>
    <w:rPr>
      <w:i/>
    </w:rPr>
  </w:style>
  <w:style w:type="paragraph" w:styleId="857">
    <w:name w:val="index heading"/>
    <w:basedOn w:val="668"/>
    <w:qFormat/>
  </w:style>
  <w:style w:type="character" w:styleId="858">
    <w:name w:val="Unresolved Mention"/>
    <w:basedOn w:val="678"/>
    <w:uiPriority w:val="99"/>
    <w:semiHidden/>
    <w:unhideWhenUsed/>
    <w:rPr>
      <w:color w:val="605e5c"/>
      <w:shd w:val="clear" w:color="auto" w:fill="e1dfdd"/>
    </w:rPr>
  </w:style>
  <w:style w:type="paragraph" w:styleId="859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vseinstrumenti.ru/tag-page/napolnye-kulery-dlya-vody-s-verhnej-zagruzkoj-18955/" TargetMode="External"/><Relationship Id="rId10" Type="http://schemas.openxmlformats.org/officeDocument/2006/relationships/hyperlink" Target="https://www.vseinstrumenti.ru/tag-page/kulery-dlya-vody-2-krana-1729589/" TargetMode="External"/><Relationship Id="rId11" Type="http://schemas.openxmlformats.org/officeDocument/2006/relationships/hyperlink" Target="https://www.vseinstrumenti.ru/tag-page/kulery-dlya-vody-70-vt-2142873/" TargetMode="External"/><Relationship Id="rId12" Type="http://schemas.openxmlformats.org/officeDocument/2006/relationships/hyperlink" Target="https://www.vseinstrumenti.ru/tag-page/kulery-dlya-vody-700-vt-2142867/" TargetMode="External"/><Relationship Id="rId13" Type="http://schemas.openxmlformats.org/officeDocument/2006/relationships/hyperlink" Target="https://www.vseinstrumenti.ru/tag-page/napolnye-kulery-dlya-vody-220-v-1732037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dc:language>ru-RU</dc:language>
  <cp:lastModifiedBy>kirnosova_tv</cp:lastModifiedBy>
  <cp:revision>6</cp:revision>
  <dcterms:created xsi:type="dcterms:W3CDTF">2026-10-09T05:12:00Z</dcterms:created>
  <dcterms:modified xsi:type="dcterms:W3CDTF">2026-10-30T07:07:18Z</dcterms:modified>
</cp:coreProperties>
</file>